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64F38" w:rsidRDefault="00B80A60">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מערער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E159FC">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ט</w:t>
                </w:r>
                <w:r w:rsidR="00E159FC">
                  <w:rPr>
                    <w:rFonts w:ascii="Arial" w:hAnsi="Arial" w:hint="cs"/>
                    <w:b/>
                    <w:bCs/>
                    <w:noProof w:val="0"/>
                    <w:sz w:val="26"/>
                    <w:szCs w:val="26"/>
                    <w:rtl/>
                  </w:rPr>
                  <w:t>'</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D33660" w:rsidP="009E461A">
            <w:pPr>
              <w:suppressLineNumbers/>
              <w:rPr>
                <w:rFonts w:ascii="Arial" w:hAnsi="Arial"/>
                <w:b/>
                <w:bCs/>
                <w:noProof w:val="0"/>
                <w:sz w:val="26"/>
                <w:szCs w:val="26"/>
              </w:rPr>
            </w:pPr>
            <w:sdt>
              <w:sdtPr>
                <w:rPr>
                  <w:rtl/>
                </w:rPr>
                <w:alias w:val="1184"/>
                <w:tag w:val="1184"/>
                <w:id w:val="-340621022"/>
                <w:text w:multiLine="1"/>
              </w:sdtPr>
              <w:sdtEndPr/>
              <w:sdtContent>
                <w:r w:rsidR="00B80A60">
                  <w:rPr>
                    <w:rFonts w:ascii="Arial" w:hAnsi="Arial" w:hint="cs"/>
                    <w:b/>
                    <w:bCs/>
                    <w:noProof w:val="0"/>
                    <w:sz w:val="26"/>
                    <w:szCs w:val="26"/>
                    <w:rtl/>
                  </w:rPr>
                  <w:t>ה</w:t>
                </w:r>
                <w:r w:rsidR="00B80A60">
                  <w:rPr>
                    <w:rFonts w:ascii="Arial" w:hAnsi="Arial"/>
                    <w:b/>
                    <w:bCs/>
                    <w:noProof w:val="0"/>
                    <w:sz w:val="26"/>
                    <w:szCs w:val="26"/>
                    <w:rtl/>
                  </w:rPr>
                  <w:t>משיב</w:t>
                </w:r>
              </w:sdtContent>
            </w:sdt>
          </w:p>
        </w:tc>
        <w:tc>
          <w:tcPr>
            <w:tcW w:w="5571" w:type="dxa"/>
          </w:tcPr>
          <w:p w:rsidR="00CF6BB7" w:rsidRPr="009E461A" w:rsidRDefault="007C2453" w:rsidP="00B80A60">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מרכז לבריאות הנפש שער מנשה</w:t>
                </w:r>
                <w:r w:rsidR="00B80A60">
                  <w:rPr>
                    <w:rFonts w:ascii="Arial" w:hAnsi="Arial"/>
                    <w:b/>
                    <w:bCs/>
                    <w:noProof w:val="0"/>
                    <w:sz w:val="26"/>
                    <w:szCs w:val="26"/>
                    <w:rtl/>
                  </w:rPr>
                  <w:br/>
                </w:r>
              </w:sdtContent>
            </w:sdt>
            <w:r w:rsidR="00B859C5">
              <w:rPr>
                <w:rFonts w:hint="cs"/>
                <w:rtl/>
              </w:rPr>
              <w:t xml:space="preserve"> </w:t>
            </w:r>
            <w:r w:rsidR="00B859C5">
              <w:rPr>
                <w:rFonts w:ascii="Arial" w:hAnsi="Arial"/>
                <w:b/>
                <w:bCs/>
                <w:noProof w:val="0"/>
                <w:sz w:val="26"/>
                <w:szCs w:val="26"/>
                <w:rtl/>
              </w:rPr>
              <w:t xml:space="preserve">ע"י </w:t>
            </w:r>
            <w:r w:rsidR="00B80A60">
              <w:rPr>
                <w:rFonts w:ascii="Arial" w:hAnsi="Arial" w:hint="cs"/>
                <w:b/>
                <w:bCs/>
                <w:noProof w:val="0"/>
                <w:sz w:val="26"/>
                <w:szCs w:val="26"/>
                <w:rtl/>
              </w:rPr>
              <w:t xml:space="preserve">פרקליטות מחוז חיפה </w:t>
            </w:r>
            <w:r w:rsidR="00B80A60">
              <w:rPr>
                <w:rFonts w:ascii="Arial" w:hAnsi="Arial"/>
                <w:b/>
                <w:bCs/>
                <w:noProof w:val="0"/>
                <w:sz w:val="26"/>
                <w:szCs w:val="26"/>
                <w:rtl/>
              </w:rPr>
              <w:t>–</w:t>
            </w:r>
            <w:r w:rsidR="00B80A60">
              <w:rPr>
                <w:rFonts w:ascii="Arial" w:hAnsi="Arial" w:hint="cs"/>
                <w:b/>
                <w:bCs/>
                <w:noProof w:val="0"/>
                <w:sz w:val="26"/>
                <w:szCs w:val="26"/>
                <w:rtl/>
              </w:rPr>
              <w:t xml:space="preserve"> אזרחי </w:t>
            </w:r>
          </w:p>
        </w:tc>
      </w:tr>
      <w:tr w:rsidR="004C17EE" w:rsidTr="00D620FD">
        <w:trPr>
          <w:jc w:val="center"/>
        </w:trPr>
        <w:tc>
          <w:tcPr>
            <w:tcW w:w="8820" w:type="dxa"/>
            <w:gridSpan w:val="3"/>
          </w:tcPr>
          <w:p w:rsidR="00664F38" w:rsidRDefault="00664F3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B80A60" w:rsidRPr="00B80A60" w:rsidRDefault="00B80A60" w:rsidP="00B80A60">
      <w:pPr>
        <w:spacing w:line="360" w:lineRule="auto"/>
        <w:ind w:right="-142"/>
        <w:jc w:val="both"/>
        <w:rPr>
          <w:rFonts w:ascii="David" w:hAnsi="David"/>
          <w:rtl/>
        </w:rPr>
      </w:pPr>
      <w:bookmarkStart w:id="0" w:name="NGCSBookmark"/>
      <w:bookmarkEnd w:id="0"/>
    </w:p>
    <w:p w:rsidR="00B80A60" w:rsidRDefault="00B80A60" w:rsidP="00B80A60">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לפניי ערעור על החלטת הוועדה הפסיכיאטרית המחוזית למבוגרים שהתכנסה ביום 30.09.2024 בבית החולים "שער מנשה" (להלן: "</w:t>
      </w:r>
      <w:r>
        <w:rPr>
          <w:rFonts w:ascii="David" w:hAnsi="David" w:cs="David"/>
          <w:b/>
          <w:bCs/>
          <w:sz w:val="24"/>
          <w:szCs w:val="24"/>
          <w:rtl/>
        </w:rPr>
        <w:t>בית החולים</w:t>
      </w:r>
      <w:r>
        <w:rPr>
          <w:rFonts w:ascii="David" w:hAnsi="David" w:cs="David"/>
          <w:sz w:val="24"/>
          <w:szCs w:val="24"/>
          <w:rtl/>
        </w:rPr>
        <w:t xml:space="preserve"> </w:t>
      </w:r>
      <w:r>
        <w:rPr>
          <w:rFonts w:ascii="David" w:hAnsi="David" w:cs="David"/>
          <w:b/>
          <w:bCs/>
          <w:sz w:val="24"/>
          <w:szCs w:val="24"/>
          <w:rtl/>
        </w:rPr>
        <w:t>הפסיכיאטרי</w:t>
      </w:r>
      <w:r>
        <w:rPr>
          <w:rFonts w:ascii="David" w:hAnsi="David" w:cs="David"/>
          <w:sz w:val="24"/>
          <w:szCs w:val="24"/>
          <w:rtl/>
        </w:rPr>
        <w:t>"), עפ"י חוק טיפול בחולי נפש, התשנ"א-1991 (להלן: "</w:t>
      </w:r>
      <w:r>
        <w:rPr>
          <w:rFonts w:ascii="David" w:hAnsi="David" w:cs="David"/>
          <w:b/>
          <w:bCs/>
          <w:sz w:val="24"/>
          <w:szCs w:val="24"/>
          <w:rtl/>
        </w:rPr>
        <w:t>החוק</w:t>
      </w:r>
      <w:r>
        <w:rPr>
          <w:rFonts w:ascii="David" w:hAnsi="David" w:cs="David"/>
          <w:sz w:val="24"/>
          <w:szCs w:val="24"/>
          <w:rtl/>
        </w:rPr>
        <w:t>"), אשר קבעה על הארכת תקופת אשפוזו הכפוי של המערער עד ליום 30.10.2024 וכן בקשת התערבות המחלקה הסוציאלית על מנת לבדוק את שחרורו למקום מוסדר לאחר סיום האשפוז, שכן המשפחה מתנגדת לחזרתו לבית אימו המבוגרת (להלן: "</w:t>
      </w:r>
      <w:r>
        <w:rPr>
          <w:rFonts w:ascii="David" w:hAnsi="David" w:cs="David"/>
          <w:b/>
          <w:bCs/>
          <w:sz w:val="24"/>
          <w:szCs w:val="24"/>
          <w:rtl/>
        </w:rPr>
        <w:t>החלטת הוועדה הפסיכיאטרית</w:t>
      </w:r>
      <w:r>
        <w:rPr>
          <w:rFonts w:ascii="David" w:hAnsi="David" w:cs="David"/>
          <w:sz w:val="24"/>
          <w:szCs w:val="24"/>
          <w:rtl/>
        </w:rPr>
        <w:t>").</w:t>
      </w:r>
    </w:p>
    <w:p w:rsidR="00B80A60" w:rsidRDefault="00B80A60" w:rsidP="00B80A60">
      <w:pPr>
        <w:pStyle w:val="ad"/>
        <w:spacing w:line="360" w:lineRule="auto"/>
        <w:ind w:left="-199" w:right="-142"/>
        <w:jc w:val="both"/>
        <w:rPr>
          <w:rFonts w:ascii="David" w:hAnsi="David" w:cs="David"/>
          <w:sz w:val="24"/>
          <w:szCs w:val="24"/>
        </w:rPr>
      </w:pPr>
    </w:p>
    <w:p w:rsidR="00B80A60" w:rsidRDefault="00B80A60" w:rsidP="00B80A60">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בנימוקיה קבעה הוועדה הפסיכיאטרית כדלקמן:</w:t>
      </w:r>
    </w:p>
    <w:p w:rsidR="00B80A60" w:rsidRDefault="00B80A60" w:rsidP="00B80A60">
      <w:pPr>
        <w:pStyle w:val="ad"/>
        <w:spacing w:line="360" w:lineRule="auto"/>
        <w:ind w:left="-199" w:right="-142"/>
        <w:jc w:val="both"/>
        <w:rPr>
          <w:rFonts w:ascii="David" w:hAnsi="David" w:cs="David"/>
          <w:sz w:val="24"/>
          <w:szCs w:val="24"/>
        </w:rPr>
      </w:pPr>
    </w:p>
    <w:p w:rsidR="00B80A60" w:rsidRDefault="00B80A60" w:rsidP="00E159FC">
      <w:pPr>
        <w:pStyle w:val="ad"/>
        <w:spacing w:line="360" w:lineRule="auto"/>
        <w:ind w:left="-199" w:right="-142"/>
        <w:jc w:val="both"/>
        <w:rPr>
          <w:rFonts w:ascii="David" w:hAnsi="David" w:cs="David"/>
          <w:b/>
          <w:bCs/>
          <w:sz w:val="24"/>
          <w:szCs w:val="24"/>
          <w:rtl/>
        </w:rPr>
      </w:pPr>
      <w:r>
        <w:rPr>
          <w:rFonts w:ascii="David" w:hAnsi="David" w:cs="David"/>
          <w:b/>
          <w:bCs/>
          <w:sz w:val="24"/>
          <w:szCs w:val="24"/>
          <w:rtl/>
        </w:rPr>
        <w:t>"מדובר בבן 42 רווק, מתגורר ב</w:t>
      </w:r>
      <w:r w:rsidR="00E159FC">
        <w:rPr>
          <w:rFonts w:ascii="David" w:hAnsi="David" w:cs="David"/>
          <w:b/>
          <w:bCs/>
          <w:sz w:val="24"/>
          <w:szCs w:val="24"/>
        </w:rPr>
        <w:t>xxx</w:t>
      </w:r>
      <w:r>
        <w:rPr>
          <w:rFonts w:ascii="David" w:hAnsi="David" w:cs="David"/>
          <w:b/>
          <w:bCs/>
          <w:sz w:val="24"/>
          <w:szCs w:val="24"/>
          <w:rtl/>
        </w:rPr>
        <w:t xml:space="preserve"> בבית אימו, מאובחן כסובל מתחלואה כפולה וסכיזופרניה, כמו כן ידוע על שימוש באלכוהול. ידוע גם על אשפוזים בכפיה ביניהם אינו נוטל טיפול, עדין שרוי במצב פסיכוטי לאלימות רק לפני חודש ב-28.08.24 ביקש הגבלה לדבריו משום שלא קיבל סיגריות, והשתולל כלפי צוות.</w:t>
      </w:r>
    </w:p>
    <w:p w:rsidR="00B80A60" w:rsidRDefault="00B80A60" w:rsidP="00B80A60">
      <w:pPr>
        <w:pStyle w:val="ad"/>
        <w:spacing w:line="360" w:lineRule="auto"/>
        <w:ind w:left="-199" w:right="-142"/>
        <w:jc w:val="both"/>
        <w:rPr>
          <w:rFonts w:ascii="David" w:hAnsi="David" w:cs="David"/>
          <w:b/>
          <w:bCs/>
          <w:sz w:val="24"/>
          <w:szCs w:val="24"/>
          <w:rtl/>
        </w:rPr>
      </w:pPr>
      <w:r>
        <w:rPr>
          <w:rFonts w:ascii="David" w:hAnsi="David" w:cs="David"/>
          <w:b/>
          <w:bCs/>
          <w:sz w:val="24"/>
          <w:szCs w:val="24"/>
          <w:rtl/>
        </w:rPr>
        <w:t>גם היום עולה כי תובנתו ושיפוטו חלקיים בלבד והוא סבור פורמלית בלבד שהוא חולה כי אומרים לו כך.</w:t>
      </w:r>
    </w:p>
    <w:p w:rsidR="00B80A60" w:rsidRDefault="00B80A60" w:rsidP="00B80A60">
      <w:pPr>
        <w:pStyle w:val="ad"/>
        <w:spacing w:line="360" w:lineRule="auto"/>
        <w:ind w:left="-199" w:right="-142"/>
        <w:jc w:val="both"/>
        <w:rPr>
          <w:rFonts w:ascii="David" w:hAnsi="David" w:cs="David"/>
          <w:b/>
          <w:bCs/>
          <w:sz w:val="24"/>
          <w:szCs w:val="24"/>
          <w:rtl/>
        </w:rPr>
      </w:pPr>
      <w:r>
        <w:rPr>
          <w:rFonts w:ascii="David" w:hAnsi="David" w:cs="David"/>
          <w:b/>
          <w:bCs/>
          <w:sz w:val="24"/>
          <w:szCs w:val="24"/>
          <w:rtl/>
        </w:rPr>
        <w:t>יצוין כי הועדה שוחחה עם אחותו שביקשה בכל לשון של בקשה שלא ישוחרר לבית אימו שאינה מסוגלת להתמודד עמו ולכן מבוקש שמחלקה סוציאלית תתערב ותסדיר לו סל שיקום בקהילה כשישוחרר."</w:t>
      </w:r>
    </w:p>
    <w:p w:rsidR="00B80A60" w:rsidRDefault="00B80A60" w:rsidP="00B80A60">
      <w:pPr>
        <w:pStyle w:val="ad"/>
        <w:spacing w:line="360" w:lineRule="auto"/>
        <w:ind w:left="-199" w:right="-142"/>
        <w:jc w:val="both"/>
        <w:rPr>
          <w:rFonts w:ascii="David" w:hAnsi="David" w:cs="David"/>
          <w:sz w:val="24"/>
          <w:szCs w:val="24"/>
          <w:rtl/>
        </w:rPr>
      </w:pPr>
    </w:p>
    <w:p w:rsidR="00B80A60" w:rsidRPr="00B80A60" w:rsidRDefault="00B80A60" w:rsidP="00B80A60">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 xml:space="preserve">מטופס ההפנייה </w:t>
      </w:r>
      <w:r>
        <w:rPr>
          <w:rFonts w:ascii="David" w:hAnsi="David" w:cs="David" w:hint="cs"/>
          <w:sz w:val="24"/>
          <w:szCs w:val="24"/>
          <w:rtl/>
        </w:rPr>
        <w:t xml:space="preserve">של בית החולים </w:t>
      </w:r>
      <w:r>
        <w:rPr>
          <w:rFonts w:ascii="David" w:hAnsi="David" w:cs="David"/>
          <w:sz w:val="24"/>
          <w:szCs w:val="24"/>
          <w:rtl/>
        </w:rPr>
        <w:t xml:space="preserve">לוועדה הפסיכיאטרית מיום 29.09.2024 נלמד כי המערער הינו כבן 42, רווק, מוכר לבית החולים משני אשפוזים בכפיה, כאשר האחרון היה בשנת 2020, עקב מצב מאני פסיכוטי. דווח כי המערער הפסיק לקחת טיפול תרופתי על דעת עצמו, התנהג התנהגות מוזרה בבית, רגזני, עצבני, שבר דלת בבית אמו, הסתובב בבית עם סכין, דיבר עם עצמו, היה חסר תובנה למצבו, </w:t>
      </w:r>
      <w:r>
        <w:rPr>
          <w:rFonts w:ascii="David" w:hAnsi="David" w:cs="David"/>
          <w:sz w:val="24"/>
          <w:szCs w:val="24"/>
          <w:rtl/>
        </w:rPr>
        <w:lastRenderedPageBreak/>
        <w:t>סירב לבדיקת רופא, היה שרוי במצב פסיכוטי פעיל, היווה מסוכנות לסובביו ולאור כך הוצאה עבורו הוראות בדיקה. במיון נמצא שרוי במצב פסיכוטי מלווה במסוכנות מידית לעצמו ולזולת, לכן הוצאה עבורו הוראת אשפוז כפוי דחוף והוא אושפז במחלקה סגורה ביום 23.07.2024. בימים הראשונים להגעתו גילה התנהגות חסרת גבולות, מתוח, חשדני, באי שקט פסיכומוטורי, ניגש הרבה לתחנה ולצוות, דרשני, לא עמד בתנאי המחלקה, לא קיבל הסברים, עם סף גירוי נמוך, נזקק לחדר בידוד. תחת טיפול משולב חל שיפור במצבו הנפשי, עמד בכללי המחלקה, הועבר למחלקת תחלואה כפולה בתאריך 30.07.2024. במחלקה נכנס לאי שקט והועבר למחלקה משפטית. במחלקה נזקק להגבלה פיזית בעקבות אי שקט פסיכומוטורי ניכר. ביום 28.08.2024 נזקק להגבלה פיזית בעקבות אלימות כלפי אנשי צוות. כיום בהכרה מלאה, עם התמצאות תקינה, לפעמים מתוח, מגלה מחשבות שווא של יחס כלפי סביבתו, במיוחד כלפי בני משפחתו וצוות רפואי של המחלקה לתחלואה כפולה, לא מקבל הסברי צוות ללא תובנה וביקורת לעצמו ולמחלתו, אינו מתכנן להמשיך טיפול אחרי שחרורו, שיפוט חלקי. בית החולים העריך שאין מצדו מסוכנות עצמית, אך כן קיימת מסוכנות לאחרים ברמה בינונית.</w:t>
      </w:r>
      <w:r>
        <w:rPr>
          <w:rFonts w:ascii="David" w:hAnsi="David" w:cs="David" w:hint="cs"/>
          <w:sz w:val="24"/>
          <w:szCs w:val="24"/>
          <w:rtl/>
        </w:rPr>
        <w:t xml:space="preserve"> </w:t>
      </w:r>
      <w:r w:rsidRPr="00B80A60">
        <w:rPr>
          <w:rFonts w:ascii="David" w:hAnsi="David" w:cs="David"/>
          <w:sz w:val="24"/>
          <w:szCs w:val="24"/>
          <w:rtl/>
        </w:rPr>
        <w:t>נוכח האמור, בית החולים ביקש להאריך את הוראת האשפוז הכפוי בחודש ימים.</w:t>
      </w:r>
    </w:p>
    <w:p w:rsidR="00B80A60" w:rsidRDefault="00B80A60" w:rsidP="00B80A60">
      <w:pPr>
        <w:pStyle w:val="ad"/>
        <w:spacing w:line="360" w:lineRule="auto"/>
        <w:ind w:left="-199" w:right="-142"/>
        <w:jc w:val="both"/>
        <w:rPr>
          <w:rFonts w:ascii="David" w:hAnsi="David" w:cs="David"/>
          <w:sz w:val="24"/>
          <w:szCs w:val="24"/>
        </w:rPr>
      </w:pPr>
    </w:p>
    <w:p w:rsidR="00B80A60" w:rsidRPr="00B80A60" w:rsidRDefault="00B80A60" w:rsidP="00B80A60">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 xml:space="preserve">המערער </w:t>
      </w:r>
      <w:r>
        <w:rPr>
          <w:rFonts w:ascii="David" w:hAnsi="David" w:cs="David" w:hint="cs"/>
          <w:sz w:val="24"/>
          <w:szCs w:val="24"/>
          <w:rtl/>
        </w:rPr>
        <w:t xml:space="preserve">הגיש את ערעורו בכוחות עצמו. בדיון שהתקיים היום בפניי, </w:t>
      </w:r>
      <w:r>
        <w:rPr>
          <w:rFonts w:ascii="David" w:hAnsi="David" w:cs="David"/>
          <w:sz w:val="24"/>
          <w:szCs w:val="24"/>
          <w:rtl/>
        </w:rPr>
        <w:t>טען כי שגתה הוועדה הפסיכיאטרית עת האריכה הוראת האשפוז וזאת מבלי שמתקיימים התנאים הנדרשים לצורך כך, כי הערכת המסוכנות הינה שגויה וכי לא נבחנו בעניינו חלופות אשפוז.</w:t>
      </w:r>
      <w:r>
        <w:rPr>
          <w:rFonts w:ascii="David" w:hAnsi="David" w:cs="David" w:hint="cs"/>
          <w:sz w:val="24"/>
          <w:szCs w:val="24"/>
          <w:rtl/>
        </w:rPr>
        <w:t xml:space="preserve"> המערער טען כי הוא מסכים לקחת טיפול תרופתי</w:t>
      </w:r>
      <w:r w:rsidR="00CC1693">
        <w:rPr>
          <w:rFonts w:ascii="David" w:hAnsi="David" w:cs="David" w:hint="cs"/>
          <w:sz w:val="24"/>
          <w:szCs w:val="24"/>
          <w:rtl/>
        </w:rPr>
        <w:t xml:space="preserve"> כפוי</w:t>
      </w:r>
      <w:r>
        <w:rPr>
          <w:rFonts w:ascii="David" w:hAnsi="David" w:cs="David" w:hint="cs"/>
          <w:sz w:val="24"/>
          <w:szCs w:val="24"/>
          <w:rtl/>
        </w:rPr>
        <w:t xml:space="preserve"> בקהילה, ויקיים את הנחיות הטיפוליות שיקבל. עוד הוסיף, כי אמו מסכימה כי יתגורר בביתה, וככל שלא תסכים, </w:t>
      </w:r>
      <w:r w:rsidRPr="00B80A60">
        <w:rPr>
          <w:rFonts w:ascii="David" w:hAnsi="David" w:cs="David" w:hint="cs"/>
          <w:sz w:val="24"/>
          <w:szCs w:val="24"/>
          <w:rtl/>
        </w:rPr>
        <w:t xml:space="preserve">הוא יפנה לשירותים החברתיים על מנת למצוא מקום מגורים. </w:t>
      </w:r>
    </w:p>
    <w:p w:rsidR="00B80A60" w:rsidRDefault="00B80A60" w:rsidP="00B80A60">
      <w:pPr>
        <w:pStyle w:val="ad"/>
        <w:spacing w:line="360" w:lineRule="auto"/>
        <w:ind w:left="-199" w:right="-142"/>
        <w:jc w:val="both"/>
        <w:rPr>
          <w:rFonts w:ascii="David" w:hAnsi="David" w:cs="David"/>
          <w:sz w:val="24"/>
          <w:szCs w:val="24"/>
        </w:rPr>
      </w:pPr>
    </w:p>
    <w:p w:rsidR="00B80A60" w:rsidRDefault="00CC1693" w:rsidP="00CC1693">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ב"כ המשיב טע</w:t>
      </w:r>
      <w:r>
        <w:rPr>
          <w:rFonts w:ascii="David" w:hAnsi="David" w:cs="David" w:hint="cs"/>
          <w:sz w:val="24"/>
          <w:szCs w:val="24"/>
          <w:rtl/>
        </w:rPr>
        <w:t xml:space="preserve">נה </w:t>
      </w:r>
      <w:r>
        <w:rPr>
          <w:rFonts w:ascii="David" w:hAnsi="David" w:cs="David"/>
          <w:sz w:val="24"/>
          <w:szCs w:val="24"/>
          <w:rtl/>
        </w:rPr>
        <w:t>כי דין הערעור להידחות</w:t>
      </w:r>
      <w:r>
        <w:rPr>
          <w:rFonts w:ascii="David" w:hAnsi="David" w:cs="David" w:hint="cs"/>
          <w:sz w:val="24"/>
          <w:szCs w:val="24"/>
          <w:rtl/>
        </w:rPr>
        <w:t xml:space="preserve">. </w:t>
      </w:r>
      <w:r w:rsidR="00B80A60">
        <w:rPr>
          <w:rFonts w:ascii="David" w:hAnsi="David" w:cs="David"/>
          <w:sz w:val="24"/>
          <w:szCs w:val="24"/>
          <w:rtl/>
        </w:rPr>
        <w:t>הוועדה הפסיכיאטרית העריכה רמת מסוכנות בינונית לאחרים, המערער אינו מעוניין ליטול טיפול תרופתי, המשפחה אינה מעוניינת שישוב ל</w:t>
      </w:r>
      <w:r>
        <w:rPr>
          <w:rFonts w:ascii="David" w:hAnsi="David" w:cs="David"/>
          <w:sz w:val="24"/>
          <w:szCs w:val="24"/>
          <w:rtl/>
        </w:rPr>
        <w:t>התגורר עמם</w:t>
      </w:r>
      <w:r w:rsidR="00B80A60">
        <w:rPr>
          <w:rFonts w:ascii="David" w:hAnsi="David" w:cs="David"/>
          <w:sz w:val="24"/>
          <w:szCs w:val="24"/>
          <w:rtl/>
        </w:rPr>
        <w:t xml:space="preserve"> </w:t>
      </w:r>
      <w:r>
        <w:rPr>
          <w:rFonts w:ascii="David" w:hAnsi="David" w:cs="David" w:hint="cs"/>
          <w:sz w:val="24"/>
          <w:szCs w:val="24"/>
          <w:rtl/>
        </w:rPr>
        <w:t>ו</w:t>
      </w:r>
      <w:r w:rsidR="00B80A60">
        <w:rPr>
          <w:rFonts w:ascii="David" w:hAnsi="David" w:cs="David"/>
          <w:sz w:val="24"/>
          <w:szCs w:val="24"/>
          <w:rtl/>
        </w:rPr>
        <w:t>כי למערער אין תובנה למצבו ומכאן שטרם בשלה העת להורות על שחרורו מאשפוז כפוי.</w:t>
      </w:r>
      <w:r>
        <w:rPr>
          <w:rFonts w:ascii="David" w:hAnsi="David" w:cs="David" w:hint="cs"/>
          <w:sz w:val="24"/>
          <w:szCs w:val="24"/>
          <w:rtl/>
        </w:rPr>
        <w:t xml:space="preserve"> עוד הוסיפה, כי כפי שעולה מהדיון היום, הסכמת המערער לקבל טיפול היא הסכמה פורמלית בלבד מהשפה לחוץ וככל שמתעמקים בדבריו, עולה כי הוא אינו מכיר במחלתו ובחשיבות ההתמדה בטיפול. </w:t>
      </w:r>
    </w:p>
    <w:p w:rsidR="00CC1693" w:rsidRPr="00CC1693" w:rsidRDefault="00CC1693" w:rsidP="00CC1693">
      <w:pPr>
        <w:pStyle w:val="ad"/>
        <w:rPr>
          <w:rFonts w:ascii="David" w:hAnsi="David" w:cs="David"/>
          <w:sz w:val="24"/>
          <w:szCs w:val="24"/>
          <w:rtl/>
        </w:rPr>
      </w:pPr>
    </w:p>
    <w:p w:rsidR="00B80A60" w:rsidRPr="009E6ED1" w:rsidRDefault="00B80A60" w:rsidP="00CC1693">
      <w:pPr>
        <w:pStyle w:val="ad"/>
        <w:numPr>
          <w:ilvl w:val="0"/>
          <w:numId w:val="1"/>
        </w:numPr>
        <w:spacing w:line="360" w:lineRule="auto"/>
        <w:ind w:left="-199" w:right="-142"/>
        <w:jc w:val="both"/>
        <w:rPr>
          <w:rFonts w:ascii="David" w:hAnsi="David" w:cs="David"/>
          <w:b/>
          <w:bCs/>
          <w:sz w:val="24"/>
          <w:szCs w:val="24"/>
        </w:rPr>
      </w:pPr>
      <w:r w:rsidRPr="00CC1693">
        <w:rPr>
          <w:rFonts w:ascii="David" w:hAnsi="David" w:cs="David"/>
          <w:sz w:val="24"/>
          <w:szCs w:val="24"/>
          <w:rtl/>
        </w:rPr>
        <w:t>לאחר שבחנתי עמדות הצדדים, עיינתי בפרוטוקול הדיון שנערך בפניי הוועדה הפסיכיאטרית, בטופס הפנייה מאת בית החולים וכן בדו"חות הרפואיים של המערער, הגעתי לכלל מסקנה כי יש מקום להתערב בהחלטת הוועדה,</w:t>
      </w:r>
      <w:r w:rsidR="00CC1693" w:rsidRPr="00CC1693">
        <w:rPr>
          <w:rFonts w:ascii="David" w:hAnsi="David" w:cs="David" w:hint="cs"/>
          <w:sz w:val="24"/>
          <w:szCs w:val="24"/>
          <w:rtl/>
        </w:rPr>
        <w:t xml:space="preserve"> </w:t>
      </w:r>
      <w:r w:rsidR="00CC1693" w:rsidRPr="009E6ED1">
        <w:rPr>
          <w:rFonts w:ascii="David" w:hAnsi="David" w:cs="David" w:hint="cs"/>
          <w:b/>
          <w:bCs/>
          <w:sz w:val="24"/>
          <w:szCs w:val="24"/>
          <w:rtl/>
        </w:rPr>
        <w:t xml:space="preserve">לקצר את תקופת האשפוז הכפוי באופן שעניינו של המערער יובא בפני הוועדה הקרובה, </w:t>
      </w:r>
      <w:r w:rsidR="009E6ED1" w:rsidRPr="009E6ED1">
        <w:rPr>
          <w:rFonts w:ascii="David" w:hAnsi="David" w:cs="David" w:hint="cs"/>
          <w:b/>
          <w:bCs/>
          <w:sz w:val="24"/>
          <w:szCs w:val="24"/>
          <w:rtl/>
        </w:rPr>
        <w:t xml:space="preserve">כשתתקיים לא יאוחר </w:t>
      </w:r>
      <w:r w:rsidR="00CC1693" w:rsidRPr="009E6ED1">
        <w:rPr>
          <w:rFonts w:ascii="David" w:hAnsi="David" w:cs="David" w:hint="cs"/>
          <w:b/>
          <w:bCs/>
          <w:sz w:val="24"/>
          <w:szCs w:val="24"/>
          <w:rtl/>
        </w:rPr>
        <w:t xml:space="preserve">תוך 7 ימים מהיום, ובפניה יונח דוח סוציאלי </w:t>
      </w:r>
      <w:r w:rsidR="00CC1693" w:rsidRPr="009E6ED1">
        <w:rPr>
          <w:rFonts w:ascii="David" w:hAnsi="David" w:cs="David"/>
          <w:b/>
          <w:bCs/>
          <w:sz w:val="24"/>
          <w:szCs w:val="24"/>
          <w:rtl/>
        </w:rPr>
        <w:t>–</w:t>
      </w:r>
      <w:r w:rsidR="00CC1693" w:rsidRPr="009E6ED1">
        <w:rPr>
          <w:rFonts w:ascii="David" w:hAnsi="David" w:cs="David" w:hint="cs"/>
          <w:b/>
          <w:bCs/>
          <w:sz w:val="24"/>
          <w:szCs w:val="24"/>
          <w:rtl/>
        </w:rPr>
        <w:t xml:space="preserve"> סל שיקום בקהילה. </w:t>
      </w:r>
    </w:p>
    <w:p w:rsidR="00CC1693" w:rsidRPr="009E6ED1" w:rsidRDefault="00CC1693" w:rsidP="00CC1693">
      <w:pPr>
        <w:pStyle w:val="ad"/>
        <w:spacing w:line="360" w:lineRule="auto"/>
        <w:ind w:left="-199" w:right="-142"/>
        <w:jc w:val="both"/>
        <w:rPr>
          <w:rFonts w:ascii="David" w:hAnsi="David" w:cs="David"/>
          <w:sz w:val="24"/>
          <w:szCs w:val="24"/>
          <w:rtl/>
        </w:rPr>
      </w:pPr>
    </w:p>
    <w:p w:rsidR="00B80A60" w:rsidRDefault="00B80A60" w:rsidP="005F0835">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המערער מוכר למערכת הפסיכיאטרית, בית החולים העריך כי מצד המערער מסוכנות לאחרים ברמה בינונית, הוועדה הפסיכיאטרית העריכה גם היא כי מצד המערער קי</w:t>
      </w:r>
      <w:r w:rsidR="009E6ED1">
        <w:rPr>
          <w:rFonts w:ascii="David" w:hAnsi="David" w:cs="David"/>
          <w:sz w:val="24"/>
          <w:szCs w:val="24"/>
          <w:rtl/>
        </w:rPr>
        <w:t xml:space="preserve">ימת מסוכנות לאחרים ברמה </w:t>
      </w:r>
      <w:r w:rsidR="009E6ED1">
        <w:rPr>
          <w:rFonts w:ascii="David" w:hAnsi="David" w:cs="David"/>
          <w:sz w:val="24"/>
          <w:szCs w:val="24"/>
          <w:rtl/>
        </w:rPr>
        <w:lastRenderedPageBreak/>
        <w:t>בינונית</w:t>
      </w:r>
      <w:r w:rsidR="009E6ED1">
        <w:rPr>
          <w:rFonts w:ascii="David" w:hAnsi="David" w:cs="David" w:hint="cs"/>
          <w:sz w:val="24"/>
          <w:szCs w:val="24"/>
          <w:rtl/>
        </w:rPr>
        <w:t>. שניהם העריכו כי למערער אין מסוכנות עצמית.</w:t>
      </w:r>
      <w:r>
        <w:rPr>
          <w:rFonts w:ascii="David" w:hAnsi="David" w:cs="David"/>
          <w:sz w:val="24"/>
          <w:szCs w:val="24"/>
          <w:rtl/>
        </w:rPr>
        <w:t xml:space="preserve"> </w:t>
      </w:r>
      <w:r w:rsidR="009E6ED1">
        <w:rPr>
          <w:rFonts w:ascii="David" w:hAnsi="David" w:cs="David" w:hint="cs"/>
          <w:sz w:val="24"/>
          <w:szCs w:val="24"/>
          <w:rtl/>
        </w:rPr>
        <w:t xml:space="preserve">בחינת </w:t>
      </w:r>
      <w:r>
        <w:rPr>
          <w:rFonts w:ascii="David" w:hAnsi="David" w:cs="David"/>
          <w:sz w:val="24"/>
          <w:szCs w:val="24"/>
          <w:rtl/>
        </w:rPr>
        <w:t xml:space="preserve">מסמכיו הרפואיים של המערער, ובדגש על החודשים הראשונים לאשפוז, </w:t>
      </w:r>
      <w:r w:rsidR="009E6ED1">
        <w:rPr>
          <w:rFonts w:ascii="David" w:hAnsi="David" w:cs="David" w:hint="cs"/>
          <w:sz w:val="24"/>
          <w:szCs w:val="24"/>
          <w:rtl/>
        </w:rPr>
        <w:t xml:space="preserve">אכן מעמידים </w:t>
      </w:r>
      <w:r>
        <w:rPr>
          <w:rFonts w:ascii="David" w:hAnsi="David" w:cs="David"/>
          <w:sz w:val="24"/>
          <w:szCs w:val="24"/>
          <w:rtl/>
        </w:rPr>
        <w:t>תשתית ראיי</w:t>
      </w:r>
      <w:r w:rsidR="009E6ED1">
        <w:rPr>
          <w:rFonts w:ascii="David" w:hAnsi="David" w:cs="David"/>
          <w:sz w:val="24"/>
          <w:szCs w:val="24"/>
          <w:rtl/>
        </w:rPr>
        <w:t>ת מספקת להערכת המסוכנות האמורה</w:t>
      </w:r>
      <w:r w:rsidR="009E6ED1">
        <w:rPr>
          <w:rFonts w:ascii="David" w:hAnsi="David" w:cs="David" w:hint="cs"/>
          <w:sz w:val="24"/>
          <w:szCs w:val="24"/>
          <w:rtl/>
        </w:rPr>
        <w:t xml:space="preserve">, ביחס לתקופה שקדמה להחלטת הועדה. עם זאת, </w:t>
      </w:r>
      <w:r>
        <w:rPr>
          <w:rFonts w:ascii="David" w:hAnsi="David" w:cs="David"/>
          <w:sz w:val="24"/>
          <w:szCs w:val="24"/>
          <w:rtl/>
        </w:rPr>
        <w:t>עיון במסמכיו הרפואיים של המערער מהזמן שקדם להתכנסות הוועדה הפסיכיאטרית, מקהה את הערכת מסוכנותו</w:t>
      </w:r>
      <w:r w:rsidR="009E6ED1">
        <w:rPr>
          <w:rFonts w:ascii="David" w:hAnsi="David" w:cs="David" w:hint="cs"/>
          <w:sz w:val="24"/>
          <w:szCs w:val="24"/>
          <w:rtl/>
        </w:rPr>
        <w:t xml:space="preserve"> לאחרים</w:t>
      </w:r>
      <w:r>
        <w:rPr>
          <w:rFonts w:ascii="David" w:hAnsi="David" w:cs="David"/>
          <w:sz w:val="24"/>
          <w:szCs w:val="24"/>
          <w:rtl/>
        </w:rPr>
        <w:t>.</w:t>
      </w:r>
      <w:r w:rsidR="005F0835">
        <w:rPr>
          <w:rFonts w:ascii="David" w:hAnsi="David" w:cs="David" w:hint="cs"/>
          <w:sz w:val="24"/>
          <w:szCs w:val="24"/>
          <w:rtl/>
        </w:rPr>
        <w:t xml:space="preserve"> פרט לאירוע מתאריך 28.08.2024 </w:t>
      </w:r>
      <w:r w:rsidR="005F0835">
        <w:rPr>
          <w:rFonts w:ascii="David" w:hAnsi="David" w:cs="David"/>
          <w:sz w:val="24"/>
          <w:szCs w:val="24"/>
          <w:rtl/>
        </w:rPr>
        <w:t>–</w:t>
      </w:r>
      <w:r w:rsidR="005F0835">
        <w:rPr>
          <w:rFonts w:ascii="David" w:hAnsi="David" w:cs="David" w:hint="cs"/>
          <w:sz w:val="24"/>
          <w:szCs w:val="24"/>
          <w:rtl/>
        </w:rPr>
        <w:t xml:space="preserve"> הגיב בתוקפנות משלא אושר לו להתקשר לאחותו לקבל סיגריות וביקש להיות קשור, לא עולה מדוחות הקרדקס כל דיווחים לאלימות או מסוכנות. </w:t>
      </w:r>
    </w:p>
    <w:p w:rsidR="00B80A60" w:rsidRDefault="00B80A60" w:rsidP="00B80A60">
      <w:pPr>
        <w:pStyle w:val="ad"/>
        <w:spacing w:line="360" w:lineRule="auto"/>
        <w:ind w:left="-199" w:right="-142"/>
        <w:jc w:val="both"/>
        <w:rPr>
          <w:rFonts w:ascii="David" w:hAnsi="David" w:cs="David"/>
          <w:sz w:val="24"/>
          <w:szCs w:val="24"/>
        </w:rPr>
      </w:pPr>
    </w:p>
    <w:p w:rsidR="00B80A60" w:rsidRDefault="00B80A60" w:rsidP="007D72A5">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עיון בפרוטוקול הדיון שנערך בפניי הוועדה הפסיכיאטרית אכן מעלה כי המערער אינו סבור שהוא חולה, יחד עם זאת כי הוא מקבל את הטענה של הרופאים בנושא, כמו כן כי הוא מסכים לקבל טיפול מרפאתי כפוי. עניין זה עלה גם בפניי. במהלך הדיון עלה כי המערער גם מסכים לפנות לגורמים הסוציאל</w:t>
      </w:r>
      <w:r w:rsidR="007D72A5">
        <w:rPr>
          <w:rFonts w:ascii="David" w:hAnsi="David" w:cs="David"/>
          <w:sz w:val="24"/>
          <w:szCs w:val="24"/>
          <w:rtl/>
        </w:rPr>
        <w:t>יים לצורך קבלת מענה ביחס למגורי</w:t>
      </w:r>
      <w:r w:rsidR="007D72A5">
        <w:rPr>
          <w:rFonts w:ascii="David" w:hAnsi="David" w:cs="David" w:hint="cs"/>
          <w:sz w:val="24"/>
          <w:szCs w:val="24"/>
          <w:rtl/>
        </w:rPr>
        <w:t>ו</w:t>
      </w:r>
      <w:r>
        <w:rPr>
          <w:rFonts w:ascii="David" w:hAnsi="David" w:cs="David"/>
          <w:sz w:val="24"/>
          <w:szCs w:val="24"/>
          <w:rtl/>
        </w:rPr>
        <w:t>, שכן</w:t>
      </w:r>
      <w:r w:rsidR="007D72A5">
        <w:rPr>
          <w:rFonts w:ascii="David" w:hAnsi="David" w:cs="David" w:hint="cs"/>
          <w:sz w:val="24"/>
          <w:szCs w:val="24"/>
          <w:rtl/>
        </w:rPr>
        <w:t xml:space="preserve"> מסתמן קושי/ התנגדות המשפחה ו/או האם </w:t>
      </w:r>
      <w:r w:rsidR="007D72A5">
        <w:rPr>
          <w:rFonts w:ascii="David" w:hAnsi="David" w:cs="David"/>
          <w:sz w:val="24"/>
          <w:szCs w:val="24"/>
          <w:rtl/>
        </w:rPr>
        <w:t>בחזר</w:t>
      </w:r>
      <w:r w:rsidR="007D72A5">
        <w:rPr>
          <w:rFonts w:ascii="David" w:hAnsi="David" w:cs="David" w:hint="cs"/>
          <w:sz w:val="24"/>
          <w:szCs w:val="24"/>
          <w:rtl/>
        </w:rPr>
        <w:t>תו למגורים</w:t>
      </w:r>
      <w:r w:rsidR="007D72A5">
        <w:rPr>
          <w:rFonts w:ascii="David" w:hAnsi="David" w:cs="David"/>
          <w:sz w:val="24"/>
          <w:szCs w:val="24"/>
          <w:rtl/>
        </w:rPr>
        <w:t xml:space="preserve"> </w:t>
      </w:r>
      <w:r w:rsidR="007D72A5">
        <w:rPr>
          <w:rFonts w:ascii="David" w:hAnsi="David" w:cs="David" w:hint="cs"/>
          <w:sz w:val="24"/>
          <w:szCs w:val="24"/>
          <w:rtl/>
        </w:rPr>
        <w:t xml:space="preserve">בבית </w:t>
      </w:r>
      <w:r>
        <w:rPr>
          <w:rFonts w:ascii="David" w:hAnsi="David" w:cs="David"/>
          <w:sz w:val="24"/>
          <w:szCs w:val="24"/>
          <w:rtl/>
        </w:rPr>
        <w:t xml:space="preserve">אמו. </w:t>
      </w:r>
    </w:p>
    <w:p w:rsidR="00B80A60" w:rsidRDefault="00B80A60" w:rsidP="00B80A60">
      <w:pPr>
        <w:pStyle w:val="ad"/>
        <w:spacing w:line="360" w:lineRule="auto"/>
        <w:ind w:left="-199" w:right="-142"/>
        <w:jc w:val="both"/>
        <w:rPr>
          <w:rFonts w:ascii="David" w:hAnsi="David" w:cs="David"/>
          <w:sz w:val="24"/>
          <w:szCs w:val="24"/>
        </w:rPr>
      </w:pPr>
    </w:p>
    <w:p w:rsidR="00B80A60" w:rsidRPr="000A3D35" w:rsidRDefault="00B66CF0" w:rsidP="00207804">
      <w:pPr>
        <w:pStyle w:val="ad"/>
        <w:numPr>
          <w:ilvl w:val="0"/>
          <w:numId w:val="1"/>
        </w:numPr>
        <w:spacing w:line="360" w:lineRule="auto"/>
        <w:ind w:left="-199" w:right="-142"/>
        <w:jc w:val="both"/>
        <w:rPr>
          <w:rFonts w:ascii="David" w:hAnsi="David" w:cs="David"/>
          <w:sz w:val="24"/>
          <w:szCs w:val="24"/>
        </w:rPr>
      </w:pPr>
      <w:r w:rsidRPr="000A3D35">
        <w:rPr>
          <w:rFonts w:ascii="David" w:hAnsi="David" w:cs="David" w:hint="cs"/>
          <w:sz w:val="24"/>
          <w:szCs w:val="24"/>
          <w:rtl/>
        </w:rPr>
        <w:t xml:space="preserve">כאמור, </w:t>
      </w:r>
      <w:r w:rsidR="00B80A60" w:rsidRPr="000A3D35">
        <w:rPr>
          <w:rFonts w:ascii="David" w:hAnsi="David" w:cs="David"/>
          <w:sz w:val="24"/>
          <w:szCs w:val="24"/>
          <w:rtl/>
        </w:rPr>
        <w:t>חלוף הזמן</w:t>
      </w:r>
      <w:r w:rsidRPr="000A3D35">
        <w:rPr>
          <w:rFonts w:ascii="David" w:hAnsi="David" w:cs="David" w:hint="cs"/>
          <w:sz w:val="24"/>
          <w:szCs w:val="24"/>
          <w:rtl/>
        </w:rPr>
        <w:t xml:space="preserve"> לאורך תקופת האשפוז </w:t>
      </w:r>
      <w:r w:rsidRPr="000A3D35">
        <w:rPr>
          <w:rFonts w:ascii="David" w:hAnsi="David" w:cs="David"/>
          <w:sz w:val="24"/>
          <w:szCs w:val="24"/>
          <w:rtl/>
        </w:rPr>
        <w:t>–</w:t>
      </w:r>
      <w:r w:rsidRPr="000A3D35">
        <w:rPr>
          <w:rFonts w:ascii="David" w:hAnsi="David" w:cs="David" w:hint="cs"/>
          <w:sz w:val="24"/>
          <w:szCs w:val="24"/>
          <w:rtl/>
        </w:rPr>
        <w:t xml:space="preserve"> 23.07.2024 ועד 30.09.2024 - מועד התכנסות הוועדה הפסיכיאטרית האחרונה </w:t>
      </w:r>
      <w:r w:rsidR="00B80A60" w:rsidRPr="000A3D35">
        <w:rPr>
          <w:rFonts w:ascii="David" w:hAnsi="David" w:cs="David"/>
          <w:sz w:val="24"/>
          <w:szCs w:val="24"/>
          <w:rtl/>
        </w:rPr>
        <w:t>מקהה את הערכת המסוכנות מצד המערער</w:t>
      </w:r>
      <w:r w:rsidRPr="000A3D35">
        <w:rPr>
          <w:rFonts w:ascii="David" w:hAnsi="David" w:cs="David" w:hint="cs"/>
          <w:sz w:val="24"/>
          <w:szCs w:val="24"/>
          <w:rtl/>
        </w:rPr>
        <w:t xml:space="preserve"> לאחרים.</w:t>
      </w:r>
      <w:r w:rsidRPr="000A3D35">
        <w:rPr>
          <w:rFonts w:ascii="David" w:hAnsi="David" w:cs="David"/>
          <w:sz w:val="24"/>
          <w:szCs w:val="24"/>
          <w:rtl/>
        </w:rPr>
        <w:t xml:space="preserve"> </w:t>
      </w:r>
      <w:r w:rsidR="00B80A60" w:rsidRPr="000A3D35">
        <w:rPr>
          <w:rFonts w:ascii="David" w:hAnsi="David" w:cs="David"/>
          <w:sz w:val="24"/>
          <w:szCs w:val="24"/>
          <w:rtl/>
        </w:rPr>
        <w:t>הדוחות הרפואיים מהתקופה האחרונה, רובם ככולם חיוביים, בהם נרשם כי המערער מתון בהתנהגותו, דואג לצרכיו, משתף פעולה עם הצוות, שקט, מאופק, מקבל טיפול תרופתי ללא התנגדות, ללא התנהגויות חריגות מצדו וכיו"ב.</w:t>
      </w:r>
      <w:r w:rsidRPr="000A3D35">
        <w:rPr>
          <w:rFonts w:ascii="David" w:hAnsi="David" w:cs="David" w:hint="cs"/>
          <w:sz w:val="24"/>
          <w:szCs w:val="24"/>
          <w:rtl/>
        </w:rPr>
        <w:t xml:space="preserve"> </w:t>
      </w:r>
      <w:r w:rsidR="00207804" w:rsidRPr="000A3D35">
        <w:rPr>
          <w:rFonts w:ascii="David" w:hAnsi="David" w:cs="David" w:hint="cs"/>
          <w:sz w:val="24"/>
          <w:szCs w:val="24"/>
          <w:rtl/>
        </w:rPr>
        <w:t>אוסיף</w:t>
      </w:r>
      <w:r w:rsidRPr="000A3D35">
        <w:rPr>
          <w:rFonts w:ascii="David" w:hAnsi="David" w:cs="David" w:hint="cs"/>
          <w:sz w:val="24"/>
          <w:szCs w:val="24"/>
          <w:rtl/>
        </w:rPr>
        <w:t>,</w:t>
      </w:r>
      <w:r w:rsidR="00207804" w:rsidRPr="000A3D35">
        <w:rPr>
          <w:rFonts w:ascii="David" w:hAnsi="David" w:cs="David" w:hint="cs"/>
          <w:sz w:val="24"/>
          <w:szCs w:val="24"/>
          <w:rtl/>
        </w:rPr>
        <w:t xml:space="preserve"> כי בעניינו, </w:t>
      </w:r>
      <w:r w:rsidRPr="000A3D35">
        <w:rPr>
          <w:rFonts w:ascii="David" w:hAnsi="David" w:cs="David" w:hint="cs"/>
          <w:sz w:val="24"/>
          <w:szCs w:val="24"/>
          <w:rtl/>
        </w:rPr>
        <w:t xml:space="preserve">הערכת המסוכנות העצמית </w:t>
      </w:r>
      <w:r w:rsidR="00207804" w:rsidRPr="000A3D35">
        <w:rPr>
          <w:rFonts w:ascii="David" w:hAnsi="David" w:cs="David" w:hint="cs"/>
          <w:sz w:val="24"/>
          <w:szCs w:val="24"/>
          <w:rtl/>
        </w:rPr>
        <w:t>של המערער, כפי שקבעה הועדה הפסיכיאטרי</w:t>
      </w:r>
      <w:r w:rsidR="00207804" w:rsidRPr="000A3D35">
        <w:rPr>
          <w:rFonts w:ascii="David" w:hAnsi="David" w:cs="David" w:hint="eastAsia"/>
          <w:sz w:val="24"/>
          <w:szCs w:val="24"/>
          <w:rtl/>
        </w:rPr>
        <w:t>ת</w:t>
      </w:r>
      <w:r w:rsidR="00207804" w:rsidRPr="000A3D35">
        <w:rPr>
          <w:rFonts w:ascii="David" w:hAnsi="David" w:cs="David" w:hint="cs"/>
          <w:sz w:val="24"/>
          <w:szCs w:val="24"/>
          <w:rtl/>
        </w:rPr>
        <w:t xml:space="preserve"> </w:t>
      </w:r>
      <w:r w:rsidRPr="000A3D35">
        <w:rPr>
          <w:rFonts w:ascii="David" w:hAnsi="David" w:cs="David" w:hint="cs"/>
          <w:sz w:val="24"/>
          <w:szCs w:val="24"/>
          <w:rtl/>
        </w:rPr>
        <w:t>היא ברמה נמוכה ולהערכת בית החולים לא קיימת כלל. במצב דברם זה, היה על הועדה הפסיכיאטרי</w:t>
      </w:r>
      <w:r w:rsidRPr="000A3D35">
        <w:rPr>
          <w:rFonts w:ascii="David" w:hAnsi="David" w:cs="David" w:hint="eastAsia"/>
          <w:sz w:val="24"/>
          <w:szCs w:val="24"/>
          <w:rtl/>
        </w:rPr>
        <w:t>ת</w:t>
      </w:r>
      <w:r w:rsidRPr="000A3D35">
        <w:rPr>
          <w:rFonts w:ascii="David" w:hAnsi="David" w:cs="David" w:hint="cs"/>
          <w:sz w:val="24"/>
          <w:szCs w:val="24"/>
          <w:rtl/>
        </w:rPr>
        <w:t xml:space="preserve"> לשקול חלופות אשפוז. לא ניתן לקבל את קביעתה כי במצבו לא ניתן לשקול חלופה. לבטח, לא ניתן להלום הארכת אשפוז לתקופה של 30 יום</w:t>
      </w:r>
      <w:r w:rsidR="00207804" w:rsidRPr="000A3D35">
        <w:rPr>
          <w:rFonts w:ascii="David" w:hAnsi="David" w:cs="David" w:hint="cs"/>
          <w:sz w:val="24"/>
          <w:szCs w:val="24"/>
          <w:rtl/>
        </w:rPr>
        <w:t>, כ</w:t>
      </w:r>
      <w:r w:rsidRPr="000A3D35">
        <w:rPr>
          <w:rFonts w:ascii="David" w:hAnsi="David" w:cs="David" w:hint="cs"/>
          <w:sz w:val="24"/>
          <w:szCs w:val="24"/>
          <w:rtl/>
        </w:rPr>
        <w:t xml:space="preserve">אשר </w:t>
      </w:r>
      <w:r w:rsidR="00207804" w:rsidRPr="000A3D35">
        <w:rPr>
          <w:rFonts w:ascii="David" w:hAnsi="David" w:cs="David" w:hint="cs"/>
          <w:sz w:val="24"/>
          <w:szCs w:val="24"/>
          <w:rtl/>
        </w:rPr>
        <w:t xml:space="preserve">לא עמד בפניה דוח סוציאלי, של סל שיקום בקהילה. </w:t>
      </w:r>
    </w:p>
    <w:p w:rsidR="0092343E" w:rsidRPr="0092343E" w:rsidRDefault="0092343E" w:rsidP="0092343E">
      <w:pPr>
        <w:pStyle w:val="ad"/>
        <w:rPr>
          <w:rFonts w:ascii="David" w:hAnsi="David" w:cs="David"/>
          <w:rtl/>
        </w:rPr>
      </w:pPr>
    </w:p>
    <w:p w:rsidR="0092343E" w:rsidRDefault="0092343E" w:rsidP="0092343E">
      <w:pPr>
        <w:pStyle w:val="ad"/>
        <w:numPr>
          <w:ilvl w:val="0"/>
          <w:numId w:val="1"/>
        </w:numPr>
        <w:spacing w:line="360" w:lineRule="auto"/>
        <w:ind w:left="-199" w:right="-142"/>
        <w:jc w:val="both"/>
        <w:rPr>
          <w:rFonts w:ascii="David" w:hAnsi="David" w:cs="David"/>
        </w:rPr>
      </w:pPr>
      <w:r>
        <w:rPr>
          <w:rFonts w:ascii="David" w:hAnsi="David" w:cs="David" w:hint="cs"/>
          <w:sz w:val="24"/>
          <w:szCs w:val="24"/>
          <w:rtl/>
        </w:rPr>
        <w:t>אשוב ואזכיר את כוכב הצפון המנחה את החלטות הועדה הפסיכיאטרית</w:t>
      </w:r>
      <w:r>
        <w:rPr>
          <w:rFonts w:ascii="David" w:hAnsi="David" w:cs="David"/>
          <w:sz w:val="24"/>
          <w:szCs w:val="24"/>
          <w:rtl/>
        </w:rPr>
        <w:t>,</w:t>
      </w:r>
      <w:r>
        <w:rPr>
          <w:rFonts w:ascii="David" w:hAnsi="David" w:cs="David" w:hint="cs"/>
          <w:sz w:val="24"/>
          <w:szCs w:val="24"/>
          <w:rtl/>
        </w:rPr>
        <w:t xml:space="preserve"> כי היא נדרשת</w:t>
      </w:r>
      <w:r>
        <w:rPr>
          <w:rFonts w:ascii="David" w:hAnsi="David" w:cs="David"/>
          <w:sz w:val="24"/>
          <w:szCs w:val="24"/>
          <w:rtl/>
        </w:rPr>
        <w:t xml:space="preserve"> לבחון באופן מדוקדק חלופות אשפוז בעניינו של המערער, שכן כידוע עסקינן בהגבלת חירות חמורה ביותר. </w:t>
      </w:r>
      <w:r>
        <w:rPr>
          <w:rFonts w:ascii="David" w:hAnsi="David" w:cs="David"/>
          <w:color w:val="000000"/>
          <w:sz w:val="24"/>
          <w:szCs w:val="24"/>
          <w:rtl/>
        </w:rPr>
        <w:t xml:space="preserve">בית המשפט העליון הדגיש בפסיקותיו את חובת הוועדה הפסיכיאטרית לשקול חלופה לאשפוז הכפוי. ברע"א 1704-12 </w:t>
      </w:r>
      <w:r>
        <w:rPr>
          <w:rFonts w:ascii="David" w:hAnsi="David" w:cs="David"/>
          <w:b/>
          <w:bCs/>
          <w:color w:val="000000"/>
          <w:sz w:val="24"/>
          <w:szCs w:val="24"/>
          <w:rtl/>
        </w:rPr>
        <w:t>פלוני נ' הוועדה הפסיכיאטרית המחוזית ואח'</w:t>
      </w:r>
      <w:r>
        <w:rPr>
          <w:rFonts w:ascii="David" w:hAnsi="David" w:cs="David"/>
          <w:color w:val="000000"/>
          <w:sz w:val="24"/>
          <w:szCs w:val="24"/>
          <w:rtl/>
        </w:rPr>
        <w:t xml:space="preserve"> (פורסם בנבו, 18.3.2012), קבע כב' השופט דנציגר כי: </w:t>
      </w:r>
      <w:r>
        <w:rPr>
          <w:rFonts w:ascii="David" w:hAnsi="David" w:cs="David"/>
          <w:b/>
          <w:bCs/>
          <w:color w:val="000000"/>
          <w:sz w:val="24"/>
          <w:szCs w:val="24"/>
          <w:rtl/>
        </w:rPr>
        <w:t>"אין חולק כי הוועדה המחוזית, בבואה לעשות שימוש בסמכותה להאריך אשפוזו הכפוי של אדם, נדרשת לשקול האם קיימת חלופה אחרת שעשויה להתאים לחולה אשר פגיעתה בחירותו ובכבודו תהיה מידתית יותר מאשר אשפוז כפוי (למשל אשפוז יום או טיפול מרפאתי כפוי או שהות במוסד טיפולי ושיקומי אחר) [השוו לסעיף 9 להחלטתי ברע"א 9176/10, ולהחלטת השופט א' רובינשטיין ברע"א 10/546 פלוני נ' בית החולים שער מנשה (לא פורסם, [פורסם בנבו], 18.2.2010)]. חובה זו נובעת מכך שאשפוז כפוי הינו אמצעי חמור ביותר, שמידת פגיעתו בחירותו ובכבודו של אדם הינה רבה</w:t>
      </w:r>
      <w:r>
        <w:rPr>
          <w:rFonts w:ascii="David" w:hAnsi="David" w:cs="David"/>
          <w:color w:val="000000"/>
          <w:sz w:val="24"/>
          <w:szCs w:val="24"/>
        </w:rPr>
        <w:t>."</w:t>
      </w:r>
    </w:p>
    <w:p w:rsidR="00B80A60" w:rsidRDefault="00B80A60" w:rsidP="00B80A60">
      <w:pPr>
        <w:pStyle w:val="ad"/>
        <w:spacing w:line="360" w:lineRule="auto"/>
        <w:ind w:left="-199" w:right="-142"/>
        <w:jc w:val="both"/>
        <w:rPr>
          <w:rFonts w:ascii="David" w:hAnsi="David" w:cs="David"/>
        </w:rPr>
      </w:pPr>
    </w:p>
    <w:p w:rsidR="00B80A60" w:rsidRPr="0092343E" w:rsidRDefault="0092343E" w:rsidP="0092343E">
      <w:pPr>
        <w:pStyle w:val="ad"/>
        <w:numPr>
          <w:ilvl w:val="0"/>
          <w:numId w:val="1"/>
        </w:numPr>
        <w:spacing w:line="360" w:lineRule="auto"/>
        <w:ind w:left="-199" w:right="-142"/>
        <w:jc w:val="both"/>
        <w:rPr>
          <w:rFonts w:ascii="David" w:hAnsi="David" w:cs="David"/>
        </w:rPr>
      </w:pPr>
      <w:r>
        <w:rPr>
          <w:rFonts w:ascii="David" w:hAnsi="David" w:cs="David"/>
          <w:color w:val="000000"/>
          <w:sz w:val="24"/>
          <w:szCs w:val="24"/>
          <w:rtl/>
        </w:rPr>
        <w:t>סבורתני כי בהיעדר אירועים חריגים ברורים שיש בהם כדי להעיד על מסוכנות ברורה מצד המערער, ולבטח שכאלה נדרשים מן הזמן האחרון, הרי שאין להסכים ולקבל את המשך אשפוזו הכפוי לחודש ימים נוספים.</w:t>
      </w:r>
      <w:r>
        <w:rPr>
          <w:rFonts w:ascii="David" w:hAnsi="David" w:cs="David" w:hint="cs"/>
          <w:color w:val="000000"/>
          <w:sz w:val="24"/>
          <w:szCs w:val="24"/>
          <w:rtl/>
        </w:rPr>
        <w:t xml:space="preserve"> שהרי</w:t>
      </w:r>
      <w:r w:rsidRPr="0092343E">
        <w:rPr>
          <w:rFonts w:ascii="David" w:hAnsi="David" w:cs="David" w:hint="cs"/>
          <w:color w:val="000000"/>
          <w:sz w:val="24"/>
          <w:szCs w:val="24"/>
          <w:rtl/>
        </w:rPr>
        <w:t>,</w:t>
      </w:r>
      <w:r w:rsidRPr="0092343E">
        <w:rPr>
          <w:rFonts w:ascii="David" w:hAnsi="David" w:cs="David" w:hint="cs"/>
          <w:b/>
          <w:bCs/>
          <w:color w:val="000000"/>
          <w:sz w:val="24"/>
          <w:szCs w:val="24"/>
          <w:rtl/>
        </w:rPr>
        <w:t xml:space="preserve"> </w:t>
      </w:r>
      <w:r w:rsidR="00B80A60" w:rsidRPr="0092343E">
        <w:rPr>
          <w:rFonts w:ascii="David" w:hAnsi="David" w:cs="David"/>
          <w:b/>
          <w:bCs/>
          <w:color w:val="000000"/>
          <w:sz w:val="24"/>
          <w:szCs w:val="24"/>
          <w:rtl/>
        </w:rPr>
        <w:t>"פגיעה בחירותו של אדם ואשפוזו הכפוי ניתן לעשות רק כאשר מדובר בחשש או באפשרות ממשית לאסון ולא באפשרות בעלמא"</w:t>
      </w:r>
      <w:r w:rsidR="00B80A60" w:rsidRPr="0092343E">
        <w:rPr>
          <w:rFonts w:ascii="David" w:hAnsi="David" w:cs="David"/>
          <w:color w:val="000000"/>
          <w:sz w:val="24"/>
          <w:szCs w:val="24"/>
          <w:rtl/>
        </w:rPr>
        <w:t xml:space="preserve"> (עיינו ע"ו (מחוזי ירושלים) 22373-06-16 </w:t>
      </w:r>
      <w:r w:rsidR="00B80A60" w:rsidRPr="0092343E">
        <w:rPr>
          <w:rFonts w:ascii="David" w:hAnsi="David" w:cs="David"/>
          <w:b/>
          <w:bCs/>
          <w:color w:val="000000"/>
          <w:sz w:val="24"/>
          <w:szCs w:val="24"/>
          <w:rtl/>
        </w:rPr>
        <w:t>פלוני נ' היועץ המשפטי לממשלה</w:t>
      </w:r>
      <w:r w:rsidR="00B80A60" w:rsidRPr="0092343E">
        <w:rPr>
          <w:rFonts w:ascii="David" w:hAnsi="David" w:cs="David"/>
          <w:color w:val="000000"/>
          <w:sz w:val="24"/>
          <w:szCs w:val="24"/>
          <w:rtl/>
        </w:rPr>
        <w:t xml:space="preserve"> (נבו 10.06.2016). </w:t>
      </w:r>
    </w:p>
    <w:p w:rsidR="00B80A60" w:rsidRDefault="00B80A60" w:rsidP="00B80A60">
      <w:pPr>
        <w:pStyle w:val="ad"/>
        <w:spacing w:line="360" w:lineRule="auto"/>
        <w:ind w:left="-199" w:right="-142"/>
        <w:jc w:val="both"/>
        <w:rPr>
          <w:rFonts w:ascii="David" w:hAnsi="David" w:cs="David"/>
        </w:rPr>
      </w:pPr>
    </w:p>
    <w:p w:rsidR="00B80A60" w:rsidRDefault="00B80A60" w:rsidP="000A3D35">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 xml:space="preserve">לאחר שקלול כל הנתונים שבפניי, אני סבורה כי יש להתערב בהחלטת הוועדה הפסיכיאטרית, כך שעניינו של המערער יושב לפני הוועדה הפסיכיאטרית, לצורך בחינת חלופת אשפוזו, וזאת עד ליום </w:t>
      </w:r>
      <w:r w:rsidR="0092343E">
        <w:rPr>
          <w:rFonts w:ascii="David" w:hAnsi="David" w:cs="David" w:hint="cs"/>
          <w:sz w:val="24"/>
          <w:szCs w:val="24"/>
          <w:rtl/>
        </w:rPr>
        <w:t>22.</w:t>
      </w:r>
      <w:r w:rsidR="000A3D35">
        <w:rPr>
          <w:rFonts w:ascii="David" w:hAnsi="David" w:cs="David" w:hint="cs"/>
          <w:sz w:val="24"/>
          <w:szCs w:val="24"/>
          <w:rtl/>
        </w:rPr>
        <w:t>10</w:t>
      </w:r>
      <w:r w:rsidR="0092343E">
        <w:rPr>
          <w:rFonts w:ascii="David" w:hAnsi="David" w:cs="David" w:hint="cs"/>
          <w:sz w:val="24"/>
          <w:szCs w:val="24"/>
          <w:rtl/>
        </w:rPr>
        <w:t>.2024,</w:t>
      </w:r>
      <w:r>
        <w:rPr>
          <w:rFonts w:ascii="David" w:hAnsi="David" w:cs="David"/>
          <w:sz w:val="24"/>
          <w:szCs w:val="24"/>
          <w:rtl/>
        </w:rPr>
        <w:t xml:space="preserve"> ולאחר שהמחלקה הסוציאלית תיתן דעתה ובדגש על מענה דיור לקראת סיום האשפוז. </w:t>
      </w:r>
    </w:p>
    <w:p w:rsidR="00B80A60" w:rsidRDefault="00B80A60" w:rsidP="00B80A60">
      <w:pPr>
        <w:pStyle w:val="ad"/>
        <w:spacing w:line="360" w:lineRule="auto"/>
        <w:ind w:left="-199" w:right="-142"/>
        <w:jc w:val="both"/>
        <w:rPr>
          <w:rFonts w:ascii="David" w:hAnsi="David" w:cs="David"/>
          <w:b/>
          <w:bCs/>
          <w:sz w:val="24"/>
          <w:szCs w:val="24"/>
          <w:rtl/>
        </w:rPr>
      </w:pPr>
    </w:p>
    <w:p w:rsidR="0092343E" w:rsidRDefault="0092343E" w:rsidP="00A7231C">
      <w:pPr>
        <w:pStyle w:val="ad"/>
        <w:numPr>
          <w:ilvl w:val="0"/>
          <w:numId w:val="1"/>
        </w:numPr>
        <w:spacing w:line="360" w:lineRule="auto"/>
        <w:ind w:left="-199" w:right="-142"/>
        <w:jc w:val="both"/>
        <w:rPr>
          <w:rFonts w:ascii="David" w:hAnsi="David" w:cs="David"/>
          <w:b/>
          <w:bCs/>
          <w:sz w:val="24"/>
          <w:szCs w:val="24"/>
        </w:rPr>
      </w:pPr>
      <w:r w:rsidRPr="00A7231C">
        <w:rPr>
          <w:rFonts w:ascii="David" w:hAnsi="David" w:cs="David"/>
          <w:b/>
          <w:bCs/>
          <w:sz w:val="24"/>
          <w:szCs w:val="24"/>
          <w:rtl/>
        </w:rPr>
        <w:t>סוף דבר – דין הערעור להתקבל.</w:t>
      </w:r>
      <w:r w:rsidR="00A7231C" w:rsidRPr="00A7231C">
        <w:rPr>
          <w:rFonts w:ascii="David" w:hAnsi="David" w:cs="David"/>
          <w:b/>
          <w:bCs/>
          <w:sz w:val="24"/>
          <w:szCs w:val="24"/>
          <w:rtl/>
        </w:rPr>
        <w:t xml:space="preserve"> אני מורה לבית החולים, להכין דוח סוציאלי/ סל שיקום בקהילה, בדחיפות, ולהגישו לפני הועדה </w:t>
      </w:r>
      <w:r w:rsidR="007C7486" w:rsidRPr="00A7231C">
        <w:rPr>
          <w:rFonts w:ascii="David" w:hAnsi="David" w:cs="David" w:hint="cs"/>
          <w:b/>
          <w:bCs/>
          <w:sz w:val="24"/>
          <w:szCs w:val="24"/>
          <w:rtl/>
        </w:rPr>
        <w:t>הפסיכיאטרית</w:t>
      </w:r>
      <w:r w:rsidR="00A7231C" w:rsidRPr="00A7231C">
        <w:rPr>
          <w:rFonts w:ascii="David" w:hAnsi="David" w:cs="David"/>
          <w:b/>
          <w:bCs/>
          <w:sz w:val="24"/>
          <w:szCs w:val="24"/>
          <w:rtl/>
        </w:rPr>
        <w:t xml:space="preserve"> שתתכנס בעניינו של המערער לא יאוחר מיום 22.10.2024. </w:t>
      </w:r>
    </w:p>
    <w:p w:rsidR="00A7231C" w:rsidRPr="00A7231C" w:rsidRDefault="00A7231C" w:rsidP="00A7231C">
      <w:pPr>
        <w:pStyle w:val="ad"/>
        <w:rPr>
          <w:rFonts w:ascii="David" w:hAnsi="David" w:cs="David"/>
          <w:b/>
          <w:bCs/>
          <w:sz w:val="24"/>
          <w:szCs w:val="24"/>
          <w:rtl/>
        </w:rPr>
      </w:pPr>
    </w:p>
    <w:p w:rsidR="00694556" w:rsidRPr="00A7231C" w:rsidRDefault="00A7231C" w:rsidP="00A7231C">
      <w:pPr>
        <w:pStyle w:val="ad"/>
        <w:numPr>
          <w:ilvl w:val="0"/>
          <w:numId w:val="1"/>
        </w:numPr>
        <w:spacing w:line="360" w:lineRule="auto"/>
        <w:ind w:left="-199" w:right="-142"/>
        <w:jc w:val="both"/>
        <w:rPr>
          <w:rFonts w:ascii="David" w:hAnsi="David" w:cs="David"/>
          <w:b/>
          <w:bCs/>
          <w:sz w:val="24"/>
          <w:szCs w:val="24"/>
        </w:rPr>
      </w:pPr>
      <w:r>
        <w:rPr>
          <w:rFonts w:ascii="David" w:hAnsi="David" w:cs="David" w:hint="cs"/>
          <w:sz w:val="24"/>
          <w:szCs w:val="24"/>
          <w:rtl/>
        </w:rPr>
        <w:t>המזכירות תמציא פסק הדין לצדדים ולבית החולים ותסגור התיק.</w:t>
      </w:r>
    </w:p>
    <w:p w:rsidR="00A7231C" w:rsidRPr="00A7231C" w:rsidRDefault="00A7231C" w:rsidP="00A7231C">
      <w:pPr>
        <w:pStyle w:val="ad"/>
        <w:rPr>
          <w:rFonts w:ascii="David" w:hAnsi="David" w:cs="David"/>
          <w:b/>
          <w:bCs/>
          <w:sz w:val="24"/>
          <w:szCs w:val="24"/>
          <w:rtl/>
        </w:rPr>
      </w:pPr>
    </w:p>
    <w:p w:rsidR="00A7231C" w:rsidRPr="00A7231C" w:rsidRDefault="00A7231C" w:rsidP="00A7231C">
      <w:pPr>
        <w:spacing w:line="360" w:lineRule="auto"/>
        <w:ind w:right="-142"/>
        <w:jc w:val="both"/>
        <w:rPr>
          <w:rFonts w:ascii="David" w:hAnsi="David"/>
          <w:b/>
          <w:bCs/>
          <w:rtl/>
        </w:rPr>
      </w:pPr>
      <w:r>
        <w:rPr>
          <w:rFonts w:ascii="David" w:hAnsi="David" w:hint="cs"/>
          <w:b/>
          <w:bCs/>
          <w:rtl/>
        </w:rPr>
        <w:t xml:space="preserve">פסק הדין מותר לפרום בהשמטת פרטים מזהים.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אוקטובר 2024</w:t>
          </w:r>
        </w:sdtContent>
      </w:sdt>
      <w:r w:rsidR="00005C8B">
        <w:rPr>
          <w:rFonts w:ascii="Arial" w:hAnsi="Arial"/>
          <w:noProof w:val="0"/>
          <w:rtl/>
        </w:rPr>
        <w:t>, בהעדר הצדדים.</w:t>
      </w:r>
    </w:p>
    <w:p w:rsidR="00C43648" w:rsidRDefault="00D3366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22822992"/>
        </w:sdtPr>
        <w:sdtEndPr/>
        <w:sdtContent>
          <w:r w:rsidR="007C7486">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660" w:rsidRDefault="00D33660">
      <w:r>
        <w:separator/>
      </w:r>
    </w:p>
  </w:endnote>
  <w:endnote w:type="continuationSeparator" w:id="0">
    <w:p w:rsidR="00D33660" w:rsidRDefault="00D3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2D3" w:rsidRDefault="00CF52D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F52D3">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F52D3">
      <w:rPr>
        <w:rStyle w:val="ab"/>
        <w:rFonts w:ascii="David" w:hAnsi="David"/>
        <w:rtl/>
      </w:rPr>
      <w:t>4</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2D3" w:rsidRDefault="00CF52D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660" w:rsidRDefault="00D33660">
      <w:r>
        <w:separator/>
      </w:r>
    </w:p>
  </w:footnote>
  <w:footnote w:type="continuationSeparator" w:id="0">
    <w:p w:rsidR="00D33660" w:rsidRDefault="00D33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2D3" w:rsidRDefault="00CF52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33660" w:rsidP="00E159FC">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ע"ו</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16790-10-24</w:t>
              </w:r>
            </w:sdtContent>
          </w:sdt>
          <w:r w:rsidR="00005C8B">
            <w:rPr>
              <w:b/>
              <w:bCs/>
              <w:noProof w:val="0"/>
              <w:sz w:val="26"/>
              <w:szCs w:val="26"/>
              <w:rtl/>
            </w:rPr>
            <w:t xml:space="preserve"> </w:t>
          </w:r>
          <w:bookmarkEnd w:id="1"/>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ט</w:t>
              </w:r>
              <w:r w:rsidR="00E159FC">
                <w:rPr>
                  <w:rFonts w:hint="cs"/>
                  <w:b/>
                  <w:bCs/>
                  <w:noProof w:val="0"/>
                  <w:sz w:val="26"/>
                  <w:szCs w:val="26"/>
                  <w:rtl/>
                </w:rPr>
                <w:t>'</w:t>
              </w:r>
              <w:r w:rsidR="00424313">
                <w:rPr>
                  <w:b/>
                  <w:bCs/>
                  <w:noProof w:val="0"/>
                  <w:sz w:val="26"/>
                  <w:szCs w:val="26"/>
                  <w:rtl/>
                </w:rPr>
                <w:t xml:space="preserve"> נ' מרכז לבריאות הנפש שער מנשה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2D3" w:rsidRDefault="00CF52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E8441CAE"/>
    <w:lvl w:ilvl="0" w:tplc="9F1A5388">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277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27731&amp;lt;/CaseID&amp;gt;_x000d__x000a_        &amp;lt;CaseMonth&amp;gt;10&amp;lt;/CaseMonth&amp;gt;_x000d__x000a_        &amp;lt;CaseYear&amp;gt;2024&amp;lt;/CaseYear&amp;gt;_x000d__x000a_        &amp;lt;CaseNumber&amp;gt;16790&amp;lt;/CaseNumber&amp;gt;_x000d__x000a_        &amp;lt;NumeratorGroupID&amp;gt;1&amp;lt;/NumeratorGroupID&amp;gt;_x000d__x000a_        &amp;lt;CaseName&amp;gt;טקלו נ&amp;#39; מרכז לבריאות הנפש שער מנשה&amp;lt;/CaseName&amp;gt;_x000d__x000a_        &amp;lt;CourtID&amp;gt;13&amp;lt;/CourtID&amp;gt;_x000d__x000a_        &amp;lt;CaseTypeID&amp;gt;10072&amp;lt;/CaseTypeID&amp;gt;_x000d__x000a_        &amp;lt;CaseInterestID&amp;gt;75&amp;lt;/CaseInterestID&amp;gt;_x000d__x000a_        &amp;lt;CaseJudgeName&amp;gt;אספרנצה אלון&amp;lt;/CaseJudgeName&amp;gt;_x000d__x000a_        &amp;lt;CaseLinkTypeID&amp;gt;9&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6790-10-24&amp;lt;/CaseDisplayIdentifier&amp;gt;_x000d__x000a_        &amp;lt;CaseTypeDesc&amp;gt;ע&amp;quot;ו&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0-15T10:30:00+03:00&amp;lt;/CasePreviousSessionDate&amp;gt;_x000d__x000a_        &amp;lt;CaseNextDeterminingTask&amp;gt;140&amp;lt;/CaseNextDeterminingTask&amp;gt;_x000d__x000a_        &amp;lt;TemporaryAidStatus /&amp;gt;_x000d__x000a_        &amp;lt;CaseOpenDate&amp;gt;2024-10-09T09:00:00+03:00&amp;lt;/CaseOpenDate&amp;gt;_x000d__x000a_        &amp;lt;PleaTypeID&amp;gt;6&amp;lt;/PleaTypeID&amp;gt;_x000d__x000a_        &amp;lt;CourtLevelID&amp;gt;2&amp;lt;/CourtLevelID&amp;gt;_x000d__x000a_        &amp;lt;CourtLevelCaseTypeInterestID&amp;gt;398&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false&amp;lt;/IsMainCase&amp;gt;_x000d__x000a_        &amp;lt;CaseDesc&amp;gt;החלטה מיום 14.10.24 נשלחה לצדדים בפקס ידני &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27731&amp;lt;/CaseID&amp;gt;_x000d__x000a_        &amp;lt;CaseMonth&amp;gt;10&amp;lt;/CaseMonth&amp;gt;_x000d__x000a_        &amp;lt;CaseYear&amp;gt;2024&amp;lt;/CaseYear&amp;gt;_x000d__x000a_        &amp;lt;CaseNumber&amp;gt;16790&amp;lt;/CaseNumber&amp;gt;_x000d__x000a_        &amp;lt;NumeratorGroupID&amp;gt;1&amp;lt;/NumeratorGroupID&amp;gt;_x000d__x000a_        &amp;lt;CaseName&amp;gt;טקלו נ&amp;#39; מרכז לבריאות הנפש שער מנשה&amp;lt;/CaseName&amp;gt;_x000d__x000a_        &amp;lt;CourtID&amp;gt;13&amp;lt;/CourtID&amp;gt;_x000d__x000a_        &amp;lt;CaseTypeID&amp;gt;10072&amp;lt;/CaseTypeID&amp;gt;_x000d__x000a_        &amp;lt;CaseInterestID&amp;gt;75&amp;lt;/CaseInterestID&amp;gt;_x000d__x000a_        &amp;lt;CaseJudgeName&amp;gt;אספרנצה אלון&amp;lt;/CaseJudgeName&amp;gt;_x000d__x000a_        &amp;lt;CaseLinkTypeID&amp;gt;9&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6790-10-24&amp;lt;/CaseDisplayIdentifier&amp;gt;_x000d__x000a_        &amp;lt;CaseTypeDesc&amp;gt;ע&amp;quot;ו&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10-09T09:00:00+03:00&amp;lt;/CaseOpenDate&amp;gt;_x000d__x000a_        &amp;lt;PleaTypeID&amp;gt;6&amp;lt;/PleaTypeID&amp;gt;_x000d__x000a_        &amp;lt;CourtLevelID&amp;gt;2&amp;lt;/CourtLevelID&amp;gt;_x000d__x000a_        &amp;lt;CourtLevelCaseTypeInterestID&amp;gt;398&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false&amp;lt;/IsMainCase&amp;gt;_x000d__x000a_        &amp;lt;CaseDesc&amp;gt;החלטה מיום 14.10.24 נשלחה לצדדים בפקס יד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5T11:32:10.8875474+03:00&amp;lt;/DecisionStatusChangeDate&amp;gt;_x000d__x000a_        &amp;lt;DecisionSignatureDate&amp;gt;2024-10-15T11:32:10.8875474+03:00&amp;lt;/DecisionSignatureDate&amp;gt;_x000d__x000a_        &amp;lt;DecisionSignatureUserID&amp;gt;057955775@GOV.IL&amp;lt;/DecisionSignatureUserID&amp;gt;_x000d__x000a_        &amp;lt;DecisionCreateDate&amp;gt;2024-10-15T11:32:10.8875474+03:00&amp;lt;/DecisionCreateDate&amp;gt;_x000d__x000a_        &amp;lt;DecisionChangeDate&amp;gt;2024-10-15T11:32:10.8875474+03: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202773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75"/>
    <w:docVar w:name="NGCS.TemplateCaseTypeID" w:val="10072"/>
    <w:docVar w:name="NGCS.TemplateCategoryID" w:val="80"/>
    <w:docVar w:name="NGCS.TemplateCourtID" w:val="13"/>
    <w:docVar w:name="NGCS.TemplateProceedingID" w:val="14"/>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A3D35"/>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07804"/>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961EA"/>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4C0"/>
    <w:rsid w:val="004D3AA0"/>
    <w:rsid w:val="004E1987"/>
    <w:rsid w:val="004E2E15"/>
    <w:rsid w:val="004E6E3C"/>
    <w:rsid w:val="00520898"/>
    <w:rsid w:val="00523621"/>
    <w:rsid w:val="00524986"/>
    <w:rsid w:val="005268F6"/>
    <w:rsid w:val="00534284"/>
    <w:rsid w:val="0054140F"/>
    <w:rsid w:val="00547DB7"/>
    <w:rsid w:val="00557717"/>
    <w:rsid w:val="00576A86"/>
    <w:rsid w:val="005F0835"/>
    <w:rsid w:val="005F4F09"/>
    <w:rsid w:val="00603F73"/>
    <w:rsid w:val="0061431B"/>
    <w:rsid w:val="00622BAA"/>
    <w:rsid w:val="006306CF"/>
    <w:rsid w:val="00644E9A"/>
    <w:rsid w:val="00664F38"/>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C7486"/>
    <w:rsid w:val="007D45E3"/>
    <w:rsid w:val="007D72A5"/>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343E"/>
    <w:rsid w:val="0094424E"/>
    <w:rsid w:val="00955642"/>
    <w:rsid w:val="009622DF"/>
    <w:rsid w:val="0096493F"/>
    <w:rsid w:val="00967DFF"/>
    <w:rsid w:val="00994341"/>
    <w:rsid w:val="009D1A48"/>
    <w:rsid w:val="009E1CE7"/>
    <w:rsid w:val="009E461A"/>
    <w:rsid w:val="009E4EA5"/>
    <w:rsid w:val="009E6ED1"/>
    <w:rsid w:val="009F164B"/>
    <w:rsid w:val="009F323C"/>
    <w:rsid w:val="00A3392B"/>
    <w:rsid w:val="00A46717"/>
    <w:rsid w:val="00A7231C"/>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66CF0"/>
    <w:rsid w:val="00B809AD"/>
    <w:rsid w:val="00B80A60"/>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122B"/>
    <w:rsid w:val="00C642FA"/>
    <w:rsid w:val="00C770E3"/>
    <w:rsid w:val="00CC1693"/>
    <w:rsid w:val="00CC7622"/>
    <w:rsid w:val="00CD608F"/>
    <w:rsid w:val="00CF52D3"/>
    <w:rsid w:val="00CF6BB7"/>
    <w:rsid w:val="00D04AA4"/>
    <w:rsid w:val="00D27982"/>
    <w:rsid w:val="00D33660"/>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159FC"/>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80A6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27560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31003"/>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אחר</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278515534</CasePartyID>
        <PartyTypeID>3</PartyTypeID>
        <ActivityStatusID>1</ActivityStatusID>
        <LegalEntityID>76942278</LegalEntityID>
        <CaseLegalEntityID>132596897</CaseLegalEntityID>
        <AssistantRoleID>33</AssistantRoleID>
        <AuthenticationTypeID>13</AuthenticationTypeID>
        <AuthenticationTypeName>משרדי ממשלה</AuthenticationTypeName>
        <LegalEntityNumber>570001753</LegalEntityNumber>
        <IsMainPartyType>true</IsMainPartyType>
        <CaseDisplayIdentifier>16790-10-24</CaseDisplayIdentifier>
        <CaseTypeID>10072</CaseTypeID>
        <CaseTypeName>ערעור על ועדה (ע"ו)</CaseTypeName>
        <CaseName>טקלו נ' מרכז לבריאות הנפש שער מנשה</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MainAndSecSpec/>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ביינה טקלו</FullName>
        <FirstName>ביינה</FirstName>
        <LastName>טקלו</LastName>
        <PartyPropertyName/>
        <AuthenticationTypeAndNumber>ת"ז 309584225</AuthenticationTypeAndNumber>
        <RepresentatedOrRepresentativesNames/>
        <RepresentatedOrRepresentativesCount>0</RepresentatedOrRepresentativesCount>
        <InvitedBy/>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278515448</CasePartyID>
        <PartyTypeID>1</PartyTypeID>
        <ActivityStatusID>1</ActivityStatusID>
        <PartyAliasID>5</PartyAliasID>
        <PartyAliasName>מערער</PartyAliasName>
        <OrdinalNumber>1</OrdinalNumber>
        <LegalEntityID>8683442</LegalEntityID>
        <CaseLegalEntityID>132596837</CaseLegalEntityID>
        <AuthenticationTypeID>1</AuthenticationTypeID>
        <AuthenticationTypeName>ת"ז</AuthenticationTypeName>
        <LegalEntityNumber>309584225</LegalEntityNumber>
        <IsMainPartyType>true</IsMainPartyType>
        <CaseDisplayIdentifier>16790-10-24</CaseDisplayIdentifier>
        <CaseTypeID>10072</CaseTypeID>
        <CaseTypeName>ערעור על ועדה (ע"ו)</CaseTypeName>
        <CaseName>טקלו נ' מרכז לבריאות הנפש שער מנשה</CaseName>
        <FullAddress/>
        <MotionID>0</MotionID>
        <CasePleaID>0</CasePleaID>
        <FatherName>טגאו</FatherName>
        <LinkedCaseID>0</LinkedCaseID>
        <PartyID>1</PartyID>
        <CasePartyCategoryID>2</CasePartyCategoryID>
        <PleaTypeID>6</PleaTypeID>
        <GroupPartyAlias>מערערים</GroupPartyAlias>
        <IsConverted>false</IsConverted>
        <LegalEntityNameID>98328911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ביינה טקלו</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לבריאות הנפש שער מנשה</FullName>
        <LastName>מרכז לבריאות הנפש שער מנשה</LastName>
        <PartyPropertyName/>
        <AuthenticationTypeAndNumber>משרדי ממשלה 570000365</AuthenticationTypeAndNumber>
        <RepresentatedOrRepresentativesNames>אילה פיילס-שרון</RepresentatedOrRepresentativesNames>
        <RepresentatedOrRepresentativesCount>1</RepresentatedOrRepresentativesCount>
        <InvitedBy/>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278515449</CasePartyID>
        <PartyTypeID>1</PartyTypeID>
        <ActivityStatusID>1</ActivityStatusID>
        <PartyAliasID>4</PartyAliasID>
        <PartyAliasName>משיב</PartyAliasName>
        <OrdinalNumber>1</OrdinalNumber>
        <LegalEntityID>7585898</LegalEntityID>
        <CaseLegalEntityID>132596838</CaseLegalEntityID>
        <AuthenticationTypeID>13</AuthenticationTypeID>
        <AuthenticationTypeName>משרדי ממשלה</AuthenticationTypeName>
        <LegalEntityNumber>570000365</LegalEntityNumber>
        <IsMainPartyType>true</IsMainPartyType>
        <CaseDisplayIdentifier>16790-10-24</CaseDisplayIdentifier>
        <CaseTypeID>10072</CaseTypeID>
        <CaseTypeName>ערעור על ועדה (ע"ו)</CaseTypeName>
        <CaseName>טקלו נ' מרכז לבריאות הנפש שער מנשה</CaseName>
        <FullAddress>ד.נ חפר 38344 שער מנשה המרכז הרפואי לבריאות הנפש שער מנשה</FullAddress>
        <MotionID>0</MotionID>
        <CasePleaID>0</CasePleaID>
        <LinkedCaseID>0</LinkedCaseID>
        <PartyID>2</PartyID>
        <CasePartyCategoryID>2</CasePartyCategoryID>
        <LegalEntityAddressID>78390079</LegalEntityAddressID>
        <PleaTypeID>6</PleaTypeID>
        <GroupPartyAlias>משיבים</GroupPartyAlias>
        <IsConverted>false</IsConverted>
        <LegalEntityRegisteredNameID>427141</LegalEntityRegisteredNameID>
        <RepresentatedNamesOfAssistant/>
        <LegalEntityTypeID>3</LegalEntityTypeID>
        <IsVerdictExists>false</IsVerdictExists>
        <IsAsirAzir>false</IsAsirAzir>
        <MainAndSecSpec/>
        <IsPublicationProhibited>false</IsPublicationProhibited>
        <PublicationProhibitedFullName>מרכז לבריאות הנפש שער מנשה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278515450</CasePartyID>
        <PartyTypeID>2</PartyTypeID>
        <ActivityStatusID>1</ActivityStatusID>
        <PartyAliasID>23</PartyAliasID>
        <PartyAliasName>בא כוח משיבים</PartyAliasName>
        <OrdinalNumber>1</OrdinalNumber>
        <LegalEntityID>381905</LegalEntityID>
        <CaseLegalEntityID>132596839</CaseLegalEntityID>
        <AuthenticationTypeID>4</AuthenticationTypeID>
        <AuthenticationTypeName>מ.ר.</AuthenticationTypeName>
        <LegalEntityNumber>16222</LegalEntityNumber>
        <IsMainPartyType>true</IsMainPartyType>
        <CaseDisplayIdentifier>16790-10-24</CaseDisplayIdentifier>
        <CaseTypeID>10072</CaseTypeID>
        <CaseTypeName>ערעור על ועדה (ע"ו)</CaseTypeName>
        <CaseName>טקלו נ' מרכז לבריאות הנפש שער מנשה</CaseName>
        <FullAddress>שד' הפל-ים 15 חיפה </FullAddress>
        <MotionID>0</MotionID>
        <CasePleaID>0</CasePleaID>
        <LinkedCaseID>0</LinkedCaseID>
        <PartyID>2</PartyID>
        <CasePartyCategoryID>2</CasePartyCategoryID>
        <LegalEntityAddressID>70960369</LegalEntity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2024-10-15T11:32:10.8875474+03:00</DecisionSignatureDate>
    <OpenCaseDate>2024-10-09T09:00:00+03:00</OpenCaseDate>
    <CaseFeeSum>0.000</CaseFeeSum>
    <DecisionTypeID>2</DecisionTypeID>
    <DecisionSignatureUserName>אספרנצה אלון</DecisionSignatureUserName>
    <DecisionSignatureDateHebrew>2024-10-15T11:32:10.8875474+03:00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טקלו נ' מרכז לבריאות הנפש שער מנשה</CaseName>
    <DecisionNumberInCase>3</DecisionNumberInCase>
  </dt_Decision>
  <dt_DecisionCase>
    <DecisionID>0</DecisionID>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אחר</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278515534</CasePartyID>
        <PartyTypeID>3</PartyTypeID>
        <ActivityStatusID>1</ActivityStatusID>
        <LegalEntityID>76942278</LegalEntityID>
        <CaseLegalEntityID>132596897</CaseLegalEntityID>
        <AssistantRoleID>33</AssistantRoleID>
        <AuthenticationTypeID>13</AuthenticationTypeID>
        <AuthenticationTypeName>משרדי ממשלה</AuthenticationTypeName>
        <LegalEntityNumber>570001753</LegalEntityNumber>
        <IsMainPartyType>true</IsMainPartyType>
        <CaseDisplayIdentifier>16790-10-24</CaseDisplayIdentifier>
        <CaseTypeID>10072</CaseTypeID>
        <CaseTypeName>ערעור על ועדה (ע"ו)</CaseTypeName>
        <CaseName>טקלו נ' מרכז לבריאות הנפש שער מנשה</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MainAndSecSpec/>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ביינה טקלו</FullName>
        <FirstName>ביינה</FirstName>
        <LastName>טקלו</LastName>
        <PartyPropertyName/>
        <AuthenticationTypeAndNumber>ת"ז 309584225</AuthenticationTypeAndNumber>
        <RepresentatedOrRepresentativesNames/>
        <RepresentatedOrRepresentativesCount>0</RepresentatedOrRepresentativesCount>
        <InvitedBy/>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278515448</CasePartyID>
        <PartyTypeID>1</PartyTypeID>
        <ActivityStatusID>1</ActivityStatusID>
        <PartyAliasID>5</PartyAliasID>
        <PartyAliasName>מערער</PartyAliasName>
        <OrdinalNumber>1</OrdinalNumber>
        <LegalEntityID>8683442</LegalEntityID>
        <CaseLegalEntityID>132596837</CaseLegalEntityID>
        <AuthenticationTypeID>1</AuthenticationTypeID>
        <AuthenticationTypeName>ת"ז</AuthenticationTypeName>
        <LegalEntityNumber>309584225</LegalEntityNumber>
        <IsMainPartyType>true</IsMainPartyType>
        <CaseDisplayIdentifier>16790-10-24</CaseDisplayIdentifier>
        <CaseTypeID>10072</CaseTypeID>
        <CaseTypeName>ערעור על ועדה (ע"ו)</CaseTypeName>
        <CaseName>טקלו נ' מרכז לבריאות הנפש שער מנשה</CaseName>
        <FullAddress/>
        <MotionID>0</MotionID>
        <CasePleaID>0</CasePleaID>
        <FatherName>טגאו</FatherName>
        <LinkedCaseID>0</LinkedCaseID>
        <PartyID>1</PartyID>
        <CasePartyCategoryID>2</CasePartyCategoryID>
        <PleaTypeID>6</PleaTypeID>
        <GroupPartyAlias>מערערים</GroupPartyAlias>
        <IsConverted>false</IsConverted>
        <LegalEntityNameID>98328911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ביינה טקלו</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לבריאות הנפש שער מנשה</FullName>
        <LastName>מרכז לבריאות הנפש שער מנשה</LastName>
        <PartyPropertyName/>
        <AuthenticationTypeAndNumber>משרדי ממשלה 570000365</AuthenticationTypeAndNumber>
        <RepresentatedOrRepresentativesNames>אילה פיילס-שרון</RepresentatedOrRepresentativesNames>
        <RepresentatedOrRepresentativesCount>1</RepresentatedOrRepresentativesCount>
        <InvitedBy/>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278515449</CasePartyID>
        <PartyTypeID>1</PartyTypeID>
        <ActivityStatusID>1</ActivityStatusID>
        <PartyAliasID>4</PartyAliasID>
        <PartyAliasName>משיב</PartyAliasName>
        <OrdinalNumber>1</OrdinalNumber>
        <LegalEntityID>7585898</LegalEntityID>
        <CaseLegalEntityID>132596838</CaseLegalEntityID>
        <AuthenticationTypeID>13</AuthenticationTypeID>
        <AuthenticationTypeName>משרדי ממשלה</AuthenticationTypeName>
        <LegalEntityNumber>570000365</LegalEntityNumber>
        <IsMainPartyType>true</IsMainPartyType>
        <CaseDisplayIdentifier>16790-10-24</CaseDisplayIdentifier>
        <CaseTypeID>10072</CaseTypeID>
        <CaseTypeName>ערעור על ועדה (ע"ו)</CaseTypeName>
        <CaseName>טקלו נ' מרכז לבריאות הנפש שער מנשה</CaseName>
        <FullAddress>ד.נ חפר 38344 שער מנשה המרכז הרפואי לבריאות הנפש שער מנשה</FullAddress>
        <MotionID>0</MotionID>
        <CasePleaID>0</CasePleaID>
        <LinkedCaseID>0</LinkedCaseID>
        <PartyID>2</PartyID>
        <CasePartyCategoryID>2</CasePartyCategoryID>
        <LegalEntityAddressID>78390079</LegalEntityAddressID>
        <PleaTypeID>6</PleaTypeID>
        <GroupPartyAlias>משיבים</GroupPartyAlias>
        <IsConverted>false</IsConverted>
        <LegalEntityRegisteredNameID>427141</LegalEntityRegisteredNameID>
        <RepresentatedNamesOfAssistant/>
        <LegalEntityTypeID>3</LegalEntityTypeID>
        <IsVerdictExists>false</IsVerdictExists>
        <IsAsirAzir>false</IsAsirAzir>
        <MainAndSecSpec/>
        <IsPublicationProhibited>false</IsPublicationProhibited>
        <PublicationProhibitedFullName>מרכז לבריאות הנפש שער מנשה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82027731</CaseID>
        <CaseJudicialPersonPresentationDS>
          <CaseJudicalPersonActive>
            <CaseID>82027731</CaseID>
            <JudicialPersonID>057955775@GOV.IL</JudicialPersonID>
            <JudicialPersonTypeID>1</JudicialPersonTypeID>
            <JudicialTypeID>1</JudicialTypeID>
            <IsChairman>false</IsChairman>
            <TreatmentStartDate>2024-10-09T09:14:08.147+03:00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278515450</CasePartyID>
        <PartyTypeID>2</PartyTypeID>
        <ActivityStatusID>1</ActivityStatusID>
        <PartyAliasID>23</PartyAliasID>
        <PartyAliasName>בא כוח משיבים</PartyAliasName>
        <OrdinalNumber>1</OrdinalNumber>
        <LegalEntityID>381905</LegalEntityID>
        <CaseLegalEntityID>132596839</CaseLegalEntityID>
        <AuthenticationTypeID>4</AuthenticationTypeID>
        <AuthenticationTypeName>מ.ר.</AuthenticationTypeName>
        <LegalEntityNumber>16222</LegalEntityNumber>
        <IsMainPartyType>true</IsMainPartyType>
        <CaseDisplayIdentifier>16790-10-24</CaseDisplayIdentifier>
        <CaseTypeID>10072</CaseTypeID>
        <CaseTypeName>ערעור על ועדה (ע"ו)</CaseTypeName>
        <CaseName>טקלו נ' מרכז לבריאות הנפש שער מנשה</CaseName>
        <FullAddress>שד' הפל-ים 15 חיפה </FullAddress>
        <MotionID>0</MotionID>
        <CasePleaID>0</CasePleaID>
        <LinkedCaseID>0</LinkedCaseID>
        <PartyID>2</PartyID>
        <CasePartyCategoryID>2</CasePartyCategoryID>
        <LegalEntityAddressID>70960369</LegalEntity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SelectionDS>
    <CaseName>טקלו נ' מרכז לבריאות הנפש שער מנשה</CaseName>
    <CaseDisplayIdentifier>16790-10-24</CaseDisplayIdentifier>
    <CaseInterestID>75</CaseInterestID>
    <CaseTypeShortName>ע"ו</CaseTypeShortName>
  </dt_DecisionCase>
  <dt_DecisionJudgePanel>
    <JudgeID>057955775@GOV.IL</JudgeID>
    <DisplayName>אספרנצה אלון</DisplayName>
    <RoleName>שופט</RoleName>
    <UserTitleName>שופטת</UserTitleName>
  </dt_DecisionJudgePanel>
  <dt_LegalEntityDetails>
    <Fax>03-6480633</Fax>
    <Phone>03-6477285</Phone>
    <AddressDesc/>
    <PartyID>1</PartyID>
    <PartyTypeID>3</PartyTypeID>
    <DecisionID>0</DecisionID>
    <AssistantRoleID>33</AssistantRoleID>
    <StreetName>מרסל ינקו 3</StreetName>
    <ZipCode>69413</ZipCode>
    <CityName>תל אביב -יפו</CityName>
    <FullName> מרכז פורום יושבי ראש ועדות פסיכיאטריות</FullName>
    <Email>s.wolfman@wolfman-law.com</Email>
    <IsPublicationProhibited>false</IsPublicationProhibited>
  </dt_LegalEntityDetails>
  <dt_LegalEntityDetails>
    <PartyID>1</PartyID>
    <PartyTypeID>1</PartyTypeID>
    <DecisionID>0</DecisionID>
    <IsPublicationProhibited>false</IsPublicationProhibited>
  </dt_LegalEntityDetails>
  <dt_LegalEntityDetails>
    <Fax>04-6279820</Fax>
    <Phone>04-6278888</Phone>
    <AddressDesc>המרכז הרפואי לבריאות הנפש שער מנשה</AddressDesc>
    <PartyID>2</PartyID>
    <PartyTypeID>1</PartyTypeID>
    <DecisionID>0</DecisionID>
    <StreetName>ד.נ חפר 38344</StreetName>
    <CityName>שער מנשה</CityName>
    <FullName> מרכז לבריאות הנפש שער מנשה</FullName>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אספרנצה אלון</CaseJudicalPerson>
  </dt_CaseJudicalPersonActive>
  <dt_Sitting>
    <PreviousMeetingDate>2024-10-15T10:30:00+03:00</PreviousMeetingDate>
    <PreviousSittingTypeID>5</PreviousSittingTypeID>
    <PreviousMeetingDisplayName>שופטת אספרנצה אלון</PreviousMeetingDisplayName>
    <PreviousMeetingRoleName>שופט</PreviousMeetingRoleName>
    <PreviousMeetingUserTitleName>שופטת</PreviousMeetingUserTitleName>
    <PreviousMeetingUserUPN>057955775@GOV.IL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7862-7773-4FA3-B3CD-886A3C81D878}">
  <ds:schemaRefs/>
</ds:datastoreItem>
</file>

<file path=customXml/itemProps2.xml><?xml version="1.0" encoding="utf-8"?>
<ds:datastoreItem xmlns:ds="http://schemas.openxmlformats.org/officeDocument/2006/customXml" ds:itemID="{7875F0C3-BD1A-489A-BBF4-0CE11267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1228</Words>
  <Characters>6144</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2024-10-27T06:50:00Z</dcterms:created>
  <dcterms:modified xsi:type="dcterms:W3CDTF">2024-10-27T06:50:00Z</dcterms:modified>
</cp:coreProperties>
</file>